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552929" w14:textId="0EA0C78E" w:rsidR="00010CF3" w:rsidRPr="001A34E0" w:rsidRDefault="00010CF3" w:rsidP="00010CF3">
      <w:pPr>
        <w:pStyle w:val="ListBullet"/>
        <w:numPr>
          <w:ilvl w:val="0"/>
          <w:numId w:val="0"/>
        </w:numPr>
        <w:spacing w:after="40"/>
        <w:jc w:val="center"/>
        <w:rPr>
          <w:b/>
          <w:bCs/>
          <w:sz w:val="28"/>
          <w:szCs w:val="32"/>
        </w:rPr>
      </w:pPr>
      <w:bookmarkStart w:id="0" w:name="_Hlk230945222"/>
      <w:bookmarkStart w:id="1" w:name="_Hlk230781485"/>
      <w:bookmarkEnd w:id="0"/>
      <w:r w:rsidRPr="001A34E0">
        <w:rPr>
          <w:b/>
          <w:bCs/>
          <w:sz w:val="28"/>
          <w:szCs w:val="32"/>
        </w:rPr>
        <w:t xml:space="preserve">Wet Wollastonite Carbonation under </w:t>
      </w:r>
      <w:r w:rsidRPr="000D601E">
        <w:rPr>
          <w:b/>
          <w:bCs/>
          <w:sz w:val="28"/>
          <w:szCs w:val="32"/>
          <w:highlight w:val="yellow"/>
        </w:rPr>
        <w:t>Mild</w:t>
      </w:r>
      <w:r w:rsidRPr="001A34E0">
        <w:rPr>
          <w:b/>
          <w:bCs/>
          <w:sz w:val="28"/>
          <w:szCs w:val="32"/>
        </w:rPr>
        <w:t xml:space="preserve"> Conditions: </w:t>
      </w:r>
      <w:r w:rsidR="00393ECA" w:rsidRPr="001A34E0">
        <w:rPr>
          <w:b/>
          <w:bCs/>
          <w:sz w:val="28"/>
          <w:szCs w:val="32"/>
        </w:rPr>
        <w:t>Structural and Kinetic Insights</w:t>
      </w:r>
    </w:p>
    <w:p w14:paraId="7007F2BF" w14:textId="0B9C527A" w:rsidR="00E24F42" w:rsidRPr="00DC0C81" w:rsidRDefault="00E24F42" w:rsidP="00DC0C81">
      <w:pPr>
        <w:pStyle w:val="ListBullet"/>
        <w:numPr>
          <w:ilvl w:val="0"/>
          <w:numId w:val="0"/>
        </w:numPr>
        <w:spacing w:after="40"/>
        <w:jc w:val="center"/>
        <w:rPr>
          <w:sz w:val="24"/>
          <w:szCs w:val="28"/>
          <w:lang w:val="de-DE"/>
        </w:rPr>
      </w:pPr>
      <w:r w:rsidRPr="004101AD">
        <w:rPr>
          <w:sz w:val="24"/>
          <w:szCs w:val="28"/>
          <w:lang w:val="de-DE"/>
        </w:rPr>
        <w:t>Sahra Homaee*</w:t>
      </w:r>
      <w:r w:rsidRPr="004101AD">
        <w:rPr>
          <w:sz w:val="24"/>
          <w:szCs w:val="28"/>
          <w:vertAlign w:val="superscript"/>
          <w:lang w:val="de-DE"/>
        </w:rPr>
        <w:t>1,2</w:t>
      </w:r>
      <w:r w:rsidRPr="004101AD">
        <w:rPr>
          <w:sz w:val="24"/>
          <w:szCs w:val="28"/>
          <w:lang w:val="de-DE"/>
        </w:rPr>
        <w:t>, Klaus Sygusch</w:t>
      </w:r>
      <w:r w:rsidRPr="004101AD">
        <w:rPr>
          <w:sz w:val="24"/>
          <w:szCs w:val="28"/>
          <w:vertAlign w:val="superscript"/>
          <w:lang w:val="de-DE"/>
        </w:rPr>
        <w:t>1</w:t>
      </w:r>
      <w:r w:rsidRPr="004101AD">
        <w:rPr>
          <w:sz w:val="24"/>
          <w:szCs w:val="28"/>
          <w:lang w:val="de-DE"/>
        </w:rPr>
        <w:t>, Doreen Ebert</w:t>
      </w:r>
      <w:r w:rsidRPr="004101AD">
        <w:rPr>
          <w:sz w:val="24"/>
          <w:szCs w:val="28"/>
          <w:vertAlign w:val="superscript"/>
          <w:lang w:val="de-DE"/>
        </w:rPr>
        <w:t>1</w:t>
      </w:r>
      <w:r w:rsidRPr="004101AD">
        <w:rPr>
          <w:sz w:val="24"/>
          <w:szCs w:val="28"/>
          <w:lang w:val="de-DE"/>
        </w:rPr>
        <w:t>, Robert Möckel</w:t>
      </w:r>
      <w:r w:rsidRPr="004101AD">
        <w:rPr>
          <w:sz w:val="24"/>
          <w:szCs w:val="28"/>
          <w:vertAlign w:val="superscript"/>
          <w:lang w:val="de-DE"/>
        </w:rPr>
        <w:t>1</w:t>
      </w:r>
      <w:r w:rsidRPr="004101AD">
        <w:rPr>
          <w:sz w:val="24"/>
          <w:szCs w:val="28"/>
          <w:lang w:val="de-DE"/>
        </w:rPr>
        <w:t>,</w:t>
      </w:r>
      <w:r w:rsidR="008843AC">
        <w:rPr>
          <w:sz w:val="24"/>
          <w:szCs w:val="28"/>
          <w:lang w:val="de-DE"/>
        </w:rPr>
        <w:t xml:space="preserve"> </w:t>
      </w:r>
      <w:r w:rsidRPr="004101AD">
        <w:rPr>
          <w:sz w:val="24"/>
          <w:szCs w:val="28"/>
          <w:lang w:val="de-DE"/>
        </w:rPr>
        <w:t>and Martin Rudolph</w:t>
      </w:r>
      <w:r w:rsidRPr="004101AD">
        <w:rPr>
          <w:sz w:val="24"/>
          <w:szCs w:val="28"/>
          <w:vertAlign w:val="superscript"/>
          <w:lang w:val="de-DE"/>
        </w:rPr>
        <w:t>1</w:t>
      </w:r>
      <w:r w:rsidR="00DC0C81" w:rsidRPr="00DC0C81">
        <w:rPr>
          <w:sz w:val="20"/>
          <w:lang w:val="de-DE"/>
        </w:rPr>
        <w:t xml:space="preserve"> </w:t>
      </w:r>
    </w:p>
    <w:p w14:paraId="3029DED1" w14:textId="5E50780D" w:rsidR="002833D1" w:rsidRPr="00F061BF" w:rsidRDefault="00EC6B11" w:rsidP="00476151">
      <w:pPr>
        <w:pStyle w:val="Heading1"/>
        <w:numPr>
          <w:ilvl w:val="0"/>
          <w:numId w:val="0"/>
        </w:numPr>
        <w:ind w:left="432" w:hanging="432"/>
      </w:pPr>
      <w:r w:rsidRPr="00F061BF">
        <w:t>Abstract</w:t>
      </w:r>
    </w:p>
    <w:p w14:paraId="65755614" w14:textId="02945FA9" w:rsidR="009013E0" w:rsidRDefault="009013E0" w:rsidP="006E5724">
      <w:pPr>
        <w:jc w:val="both"/>
        <w:rPr>
          <w:sz w:val="22"/>
          <w:szCs w:val="22"/>
        </w:rPr>
      </w:pPr>
      <w:r w:rsidRPr="009013E0">
        <w:rPr>
          <w:sz w:val="22"/>
          <w:szCs w:val="22"/>
        </w:rPr>
        <w:t>Wet mineral carbonation of calcium silicates is a promising route for permanent CO₂ sequestration and the production of carbonate-containing construction materials, yet the temperature dependence of the underlying kinetic processes remains incompletely understood. In this work, the carbonation of wollastonite (</w:t>
      </w:r>
      <w:proofErr w:type="spellStart"/>
      <w:r w:rsidRPr="009013E0">
        <w:rPr>
          <w:sz w:val="22"/>
          <w:szCs w:val="22"/>
        </w:rPr>
        <w:t>CaSiO</w:t>
      </w:r>
      <w:proofErr w:type="spellEnd"/>
      <w:r w:rsidRPr="009013E0">
        <w:rPr>
          <w:sz w:val="22"/>
          <w:szCs w:val="22"/>
        </w:rPr>
        <w:t xml:space="preserve">₃) under </w:t>
      </w:r>
      <w:r w:rsidR="00E63E79">
        <w:rPr>
          <w:sz w:val="22"/>
          <w:szCs w:val="22"/>
        </w:rPr>
        <w:t>mild</w:t>
      </w:r>
      <w:r w:rsidRPr="009013E0">
        <w:rPr>
          <w:sz w:val="22"/>
          <w:szCs w:val="22"/>
        </w:rPr>
        <w:t xml:space="preserve"> conditions was systematically investigated through time-resolved experiments at </w:t>
      </w:r>
      <w:r w:rsidR="00E63E79">
        <w:rPr>
          <w:sz w:val="22"/>
          <w:szCs w:val="22"/>
        </w:rPr>
        <w:t>(</w:t>
      </w:r>
      <w:r w:rsidRPr="009013E0">
        <w:rPr>
          <w:sz w:val="22"/>
          <w:szCs w:val="22"/>
        </w:rPr>
        <w:t xml:space="preserve">25, 45, 60, 75, and </w:t>
      </w:r>
      <w:proofErr w:type="gramStart"/>
      <w:r w:rsidRPr="009013E0">
        <w:rPr>
          <w:sz w:val="22"/>
          <w:szCs w:val="22"/>
        </w:rPr>
        <w:t>90</w:t>
      </w:r>
      <w:r w:rsidR="00E63E79">
        <w:rPr>
          <w:sz w:val="22"/>
          <w:szCs w:val="22"/>
        </w:rPr>
        <w:t>)</w:t>
      </w:r>
      <w:r w:rsidRPr="009013E0">
        <w:rPr>
          <w:sz w:val="22"/>
          <w:szCs w:val="22"/>
        </w:rPr>
        <w:t>°</w:t>
      </w:r>
      <w:proofErr w:type="gramEnd"/>
      <w:r w:rsidRPr="009013E0">
        <w:rPr>
          <w:sz w:val="22"/>
          <w:szCs w:val="22"/>
        </w:rPr>
        <w:t xml:space="preserve">C, with particle-size effects further evaluated at 90°C. Carbonation conversion increased substantially with temperature. Kinetic analyses based on the </w:t>
      </w:r>
      <w:proofErr w:type="spellStart"/>
      <w:r w:rsidRPr="009013E0">
        <w:rPr>
          <w:sz w:val="22"/>
          <w:szCs w:val="22"/>
        </w:rPr>
        <w:t>Avrami</w:t>
      </w:r>
      <w:proofErr w:type="spellEnd"/>
      <w:r w:rsidRPr="009013E0">
        <w:rPr>
          <w:sz w:val="22"/>
          <w:szCs w:val="22"/>
        </w:rPr>
        <w:t xml:space="preserve"> model and shrinking-core model (SCM) formulations showed that wet wollastonite carbonation does not follow a single temperature-independent mechanism. Instead, the relative contributions of dissolution, precipitation, and transport processes vary with temperature, giving rise to three characteristic temperature intervals and regime-specific apparent activation energies. The intermediate range (45–</w:t>
      </w:r>
      <w:proofErr w:type="gramStart"/>
      <w:r w:rsidRPr="009013E0">
        <w:rPr>
          <w:sz w:val="22"/>
          <w:szCs w:val="22"/>
        </w:rPr>
        <w:t>75)</w:t>
      </w:r>
      <w:r w:rsidR="00E63E79">
        <w:rPr>
          <w:sz w:val="22"/>
          <w:szCs w:val="22"/>
        </w:rPr>
        <w:t>°</w:t>
      </w:r>
      <w:proofErr w:type="gramEnd"/>
      <w:r w:rsidR="00E63E79">
        <w:rPr>
          <w:sz w:val="22"/>
          <w:szCs w:val="22"/>
        </w:rPr>
        <w:t>C</w:t>
      </w:r>
      <w:r w:rsidRPr="009013E0">
        <w:rPr>
          <w:sz w:val="22"/>
          <w:szCs w:val="22"/>
        </w:rPr>
        <w:t xml:space="preserve"> exhibited the most consistent kinetic behavior, with an apparent activation energy of approximately </w:t>
      </w:r>
      <w:r w:rsidR="00E63E79">
        <w:rPr>
          <w:sz w:val="22"/>
          <w:szCs w:val="22"/>
        </w:rPr>
        <w:t>(</w:t>
      </w:r>
      <w:r w:rsidRPr="009013E0">
        <w:rPr>
          <w:sz w:val="22"/>
          <w:szCs w:val="22"/>
        </w:rPr>
        <w:t>40–45</w:t>
      </w:r>
      <w:r w:rsidR="00E63E79">
        <w:rPr>
          <w:sz w:val="22"/>
          <w:szCs w:val="22"/>
        </w:rPr>
        <w:t>) </w:t>
      </w:r>
      <w:r w:rsidRPr="009013E0">
        <w:rPr>
          <w:sz w:val="22"/>
          <w:szCs w:val="22"/>
        </w:rPr>
        <w:t>kJ</w:t>
      </w:r>
      <w:r w:rsidR="00E63E79">
        <w:rPr>
          <w:sz w:val="22"/>
          <w:szCs w:val="22"/>
        </w:rPr>
        <w:t> </w:t>
      </w:r>
      <w:r w:rsidRPr="009013E0">
        <w:rPr>
          <w:sz w:val="22"/>
          <w:szCs w:val="22"/>
        </w:rPr>
        <w:t>mol⁻¹, characteristic of diffusion-influenced control. Particle-size reduction accelerated carbonation and increased final conversion without significantly altering the overall kinetic behavior. Complementary characterization by XRD, DTG, SEM, BET, and AFM demonstrated that increasing temperature enhances not only the extent of wollastonite-to-calcite transformation but also the structural, thermal, and morphological development of the carbonate products, while AFM revealed heterogeneous near-surface alteration associated with carbonate precipitation and silica-rich products. Overall, temperature exerts a greater influence than particle size on both reaction progress and apparent rate behavior. These findings provide an integrated kinetic and microstructural framework for understanding and optimizing wet carbonation of calcium silicates.</w:t>
      </w:r>
    </w:p>
    <w:p w14:paraId="018075B5" w14:textId="49D0AC78" w:rsidR="007E6420" w:rsidRPr="002833D1" w:rsidRDefault="007E6420" w:rsidP="006E5724">
      <w:pPr>
        <w:jc w:val="both"/>
        <w:rPr>
          <w:sz w:val="22"/>
          <w:szCs w:val="22"/>
        </w:rPr>
      </w:pPr>
      <w:r w:rsidRPr="002833D1">
        <w:rPr>
          <w:sz w:val="22"/>
          <w:szCs w:val="22"/>
        </w:rPr>
        <w:t>Keywords: CO₂ sequestration; Wet mineral carbonation; Wollastonite; Kinetic mode</w:t>
      </w:r>
      <w:r w:rsidR="00EF42F0" w:rsidRPr="002833D1">
        <w:rPr>
          <w:sz w:val="22"/>
          <w:szCs w:val="22"/>
        </w:rPr>
        <w:t>l</w:t>
      </w:r>
      <w:r w:rsidRPr="002833D1">
        <w:rPr>
          <w:sz w:val="22"/>
          <w:szCs w:val="22"/>
        </w:rPr>
        <w:t>ling;</w:t>
      </w:r>
    </w:p>
    <w:p w14:paraId="394227E2" w14:textId="2170229F" w:rsidR="007E6420" w:rsidRPr="002833D1" w:rsidRDefault="007E6420" w:rsidP="00BA18A5">
      <w:pPr>
        <w:rPr>
          <w:sz w:val="22"/>
          <w:szCs w:val="22"/>
        </w:rPr>
      </w:pPr>
      <w:r w:rsidRPr="002833D1">
        <w:rPr>
          <w:sz w:val="22"/>
          <w:szCs w:val="22"/>
        </w:rPr>
        <w:t>Arrhenius analysis; CCUS</w:t>
      </w:r>
    </w:p>
    <w:bookmarkEnd w:id="1"/>
    <w:p w14:paraId="52B171EE" w14:textId="084CAE67" w:rsidR="00010CF3" w:rsidRPr="00267C17" w:rsidRDefault="00010CF3" w:rsidP="00010CF3">
      <w:pPr>
        <w:pStyle w:val="Heading1"/>
        <w:rPr>
          <w:color w:val="auto"/>
        </w:rPr>
      </w:pPr>
      <w:r w:rsidRPr="00267C17">
        <w:rPr>
          <w:color w:val="auto"/>
        </w:rPr>
        <w:t>Introduction</w:t>
      </w:r>
    </w:p>
    <w:p w14:paraId="21057A2B" w14:textId="2C612BB9" w:rsidR="00616887" w:rsidRDefault="00616887" w:rsidP="006E4667">
      <w:pPr>
        <w:pStyle w:val="BodyText"/>
        <w:spacing w:line="360" w:lineRule="auto"/>
        <w:jc w:val="both"/>
      </w:pPr>
      <w:r w:rsidRPr="00267C17">
        <w:t>Reducing anthropogenic CO₂ emissions remains a significant scientific and industrial challenge in the transition to more sustainable production systems. Among various carbon capture, utilization, and storage strategies, mineral carbonation has gained increasing attention due to its ability to permanently fix CO₂ as thermodynamically stable carbonate minerals. Unlike temporary storage methods, mineral carbonation offers long-term stability and can be integrated with industrial residues or naturally occurring calcium</w:t>
      </w:r>
      <w:r w:rsidR="00F05F6D">
        <w:t xml:space="preserve"> </w:t>
      </w:r>
      <w:r w:rsidRPr="00267C17">
        <w:t>and magnesium-bearing materials. Consequently, mineral carbonation is regarded as a promising approach for durable CO₂ sequestration and, in some cases, for generating value-added carbonate-containing products</w:t>
      </w:r>
      <w:r w:rsidR="00EF42F0">
        <w:t xml:space="preserve"> </w:t>
      </w:r>
      <w:r w:rsidR="00185720" w:rsidRPr="00267C17">
        <w:fldChar w:fldCharType="begin"/>
      </w:r>
      <w:r w:rsidR="00CA5C33">
        <w:instrText xml:space="preserve"> ADDIN ZOTERO_ITEM CSL_CITATION {"citationID":"IoRMjJH0","properties":{"unsorted":false,"formattedCitation":"[1\\uc0\\u8211{}5]","plainCitation":"[1–5]","noteIndex":0},"citationItems":[{"id":63,"uris":["http://zotero.org/users/local/CPEr2PVS/items/6LBITNHC"],"itemData":{"id":63,"type":"article-journal","abstract":"Mineral carbonation is a promising and at the same time challenging option for the sequestration of anthropogenic CO\n              2\n              .\n            \n          , \n            \n              Carbon dioxide (CO\n              2\n              ) capture and sequestration includes a portfolio of technologies that can potentially sequester billions of tonnes of CO\n              2\n              per year. Mineral carbonation (MC) is emerging as a potential CCS technology solution to sequester CO\n              2\n              from smaller/medium emitters, where geological sequestration is not a viable option. In MC processes, CO\n              2\n              is chemically reacted with calcium- and/or magnesium-containing materials to form stable carbonates. This work investigates the current advancement in the proposed MC technologies and the role they can play in decreasing the overall cost of this CO\n              2\n              sequestration route.\n              In situ\n              mineral carbonation is a very promising option in terms of resources available and enhanced security, but the technology is still in its infancy and transport and storage costs are still higher than geological storage in sedimentary basins ($17 instead of $8 per tCO\n              2\n              ).\n              Ex situ\n              mineral carbonation has been demonstrated on pilot and demonstration scales. However, its application is currently limited by its high costs, which range from $50 to $300 per tCO\n              2\n              sequestered. Energy use, the reaction rate and material handling are the key factors hindering the success of this technology. The value of the products seems central to render MC economically viable in the same way as conventional CCS seems profitable only when combined with EOR. Large scale projects such as the Skyonic process can help in reducing the knowledge gaps on MC fundamentals and provide accurate costing and data on processes integration and comparison. The literature to date indicates that in the coming decades MC can play an important role in decarbonising the power and industrial sector.","container-title":"Chem. Soc. Rev.","DOI":"10.1039/C4CS00035H","ISSN":"0306-0012, 1460-4744","issue":"23","journalAbbreviation":"Chem. Soc. Rev.","language":"en","page":"8049-8080","source":"DOI.org (Crossref)","title":"A review of mineral carbonation technologies to sequester CO &lt;sub&gt;2&lt;/sub&gt;","volume":"43","author":[{"family":"Sanna","given":"A."},{"family":"Uibu","given":"M."},{"family":"Caramanna","given":"G."},{"family":"Kuusik","given":"R."},{"family":"Maroto-Valer","given":"M. M."}],"issued":{"date-parts":[["2014"]]}}},{"id":290,"uris":["http://zotero.org/users/local/CPEr2PVS/items/ZGCGVCXE"],"itemData":{"id":290,"type":"article-journal","abstract":"Path to zero carbon emissions\n            \n              Models show that to avert dangerous levels of climate change, global carbon dioxide emissions must fall to zero later this century. Most of these emissions arise from energy use. Davis\n              et al.\n              review what it would take to achieve decarbonization of the energy system. Some parts of the energy system are particularly difficult to decarbonize, including aviation, long-distance transport, steel and cement production, and provision of a reliable electricity supply. Current technologies and pathways show promise, but integration of now-discrete energy sectors and industrial processes is vital to achieve minimal emissions.\n            \n            \n              Science\n              , this issue p.\n              eaas9793\n            \n          , \n            \n              BACKGROUND\n              \n                Net emissions of CO\n                2\n                by human activities—including not only energy services and industrial production but also land use and agriculture—must approach zero in order to stabilize global mean temperature. Energy services such as light-duty transportation, heating, cooling, and lighting may be relatively straightforward to decarbonize by electrifying and generating electricity from variable renewable energy sources (such as wind and solar) and dispatchable (“on-demand”) nonrenewable sources (including nuclear energy and fossil fuels with carbon capture and storage). However, other energy services essential to modern civilization entail emissions that are likely to be more difficult to fully eliminate. These difficult-to-decarbonize energy services include aviation, long-distance transport, and shipping; production of carbon-intensive structural materials such as steel and cement; and provision of a reliable electricity supply that meets varying demand. Moreover, demand for such services and products is projected to increase substantially over this century. The long-lived infrastructure built today, for better or worse, will shape the future.\n              \n              \n                Here, we review the special challenges associated with an energy system that does not add any CO\n                2\n                to the atmosphere (a net-zero emissions energy system). We discuss prominent technological opportunities and barriers for eliminating and/or managing emissions related to the difficult-to-decarbonize services; pitfalls in which near-term actions may make it more difficult or costly to achieve the net-zero emissions goal; and critical areas for research, development, demonstration, and deployment. It may take decades to research, develop, and deploy these new technologies.\n              \n            \n            \n              ADVANCES\n              A successful transition to a future net-zero emissions energy system is likely to depend on vast amounts of inexpensive, emissions-free electricity; mechanisms to quickly and cheaply balance large and uncertain time-varying differences between demand and electricity generation; electrified substitutes for most fuel-using devices; alternative materials and manufacturing processes for structural materials; and carbon-neutral fuels for the parts of the economy that are not easily electrified. Recycling and removal of carbon from the atmosphere (carbon management) is also likely to be an important activity of any net-zero emissions energy system. The specific technologies that will be favored in future marketplaces are largely uncertain, but only a finite number of technology choices exist today for each functional role. To take appropriate actions in the near term, it is imperative to clearly identify desired end points. To achieve a robust, reliable, and affordable net-zero emissions energy system later this century, efforts to research, develop, demonstrate, and deploy those candidate technologies must start now.\n            \n            \n              OUTLOOK\n              Combinations of known technologies could eliminate emissions related to all essential energy services and processes, but substantial increases in costs are an immediate barrier to avoiding emissions in each category. In some cases, innovation and deployment can be expected to reduce costs and create new options. More rapid changes may depend on coordinating operations across energy and industry sectors, which could help boost utilization rates of capital-intensive assets, but this will require overcoming institutional and organizational challenges in order to create new markets and ensure cooperation among regulators and disparate, risk-averse businesses. Two parallel and broad streams of research and development could prove useful: research in technologies and approaches that can decarbonize provision of the most difficult-to-decarbonize energy services, and research in systems integration that would allow reliable and cost-effective provision of these services.\n              \n                \n                  A shower of molten metal in a steel foundry.\n                  \n                    Industrial processes such as steelmaking will be particularly challenging to decarbonize. Meeting future demand for such difficult-to-decarbonize energy services and industrial products without adding CO\n                    2\n                    to the atmosphere may depend on technological cost reductions via research and innovation, as well as coordinated deployment and integration of operations across currently discrete energy industries.\n                  \n                \n                \n              \n            \n          , \n            \n              Some energy services and industrial processes—such as long-distance freight transport, air travel, highly reliable electricity, and steel and cement manufacturing—are particularly difficult to provide without adding carbon dioxide (CO\n              2\n              ) to the atmosphere. Rapidly growing demand for these services, combined with long lead times for technology development and long lifetimes of energy infrastructure, make decarbonization of these services both essential and urgent. We examine barriers and opportunities associated with these difficult-to-decarbonize services and processes, including possible technological solutions and research and development priorities. A range of existing technologies could meet future demands for these services and processes without net addition of CO\n              2\n              to the atmosphere, but their use may depend on a combination of cost reductions via research and innovation, as well as coordinated deployment and integration of operations across currently discrete energy industries.","container-title":"Science","DOI":"10.1126/science.aas9793","ISSN":"0036-8075, 1095-9203","issue":"6396","journalAbbreviation":"Science","language":"en","page":"eaas9793","source":"DOI.org (Crossref)","title":"Net-zero emissions energy systems","volume":"360","author":[{"family":"Davis","given":"Steven J."},{"family":"Lewis","given":"Nathan S."},{"family":"Shaner","given":"Matthew"},{"family":"Aggarwal","given":"Sonia"},{"family":"Arent","given":"Doug"},{"family":"Azevedo","given":"Inês L."},{"family":"Benson","given":"Sally M."},{"family":"Bradley","given":"Thomas"},{"family":"Brouwer","given":"Jack"},{"family":"Chiang","given":"Yet-Ming"},{"family":"Clack","given":"Christopher T. M."},{"family":"Cohen","given":"Armond"},{"family":"Doig","given":"Stephen"},{"family":"Edmonds","given":"Jae"},{"family":"Fennell","given":"Paul"},{"family":"Field","given":"Christopher B."},{"family":"Hannegan","given":"Bryan"},{"family":"Hodge","given":"Bri-Mathias"},{"family":"Hoffert","given":"Martin I."},{"family":"Ingersoll","given":"Eric"},{"family":"Jaramillo","given":"Paulina"},{"family":"Lackner","given":"Klaus S."},{"family":"Mach","given":"Katharine J."},{"family":"Mastrandrea","given":"Michael"},{"family":"Ogden","given":"Joan"},{"family":"Peterson","given":"Per F."},{"family":"Sanchez","given":"Daniel L."},{"family":"Sperling","given":"Daniel"},{"family":"Stagner","given":"Joseph"},{"family":"Trancik","given":"Jessika E."},{"family":"Yang","given":"Chi-Jen"},{"family":"Caldeira","given":"Ken"}],"issued":{"date-parts":[["2018",6,29]]}}},{"id":245,"uris":["http://zotero.org/users/local/CPEr2PVS/items/8W8YBV9H"],"itemData":{"id":245,"type":"article-journal","abstract":"Wollastonite (CaSiO3) is the most researched and well-defined mineral in the field of CO2 mineralization, but it is also a sought-after process mineral and thus, not easily justified for large scale ex situ carbon sequestration, which requires an energy-intensive step of comminution to increase reactivity. Wollastonite-rich mine tailings are a side stream with an already fine particle size resulting from the extractive process, but their effective utilization is problematic due to legislation, logistics, a high number of impurities, and chemical inconsistency. In this study, the accelerated weathering (aqueous carbonation) of high-calcite (CaCO3) wollastonite tailings was studied under elevated temperatures and high partial pressures of CO2 to determine the carbon sequestration potential of those tailings compared to those of pure reference wollastonite originating from the same quarry. The main process variables were pressure (20–100 bar), temperature (40 ◦C–60 ◦C), and time (10 min–24 h). Despite consisting largely of non-reactive silicates and primary calcite, very fine tailings showed promise in closed-chamber batch-type aqueous carbonation, achieving a conversion extent of over 28% in one hour at 100 bar and 60 ◦C.","container-title":"Minerals","DOI":"10.3390/min14040415","ISSN":"2075-163X","issue":"4","journalAbbreviation":"Minerals","language":"en","page":"415","source":"DOI.org (Crossref)","title":"Accelerated Carbonation of High-Calcite Wollastonite Tailings","volume":"14","author":[{"family":"Ismailov","given":"Arnold"},{"family":"Merilaita","given":"Niina"},{"family":"Levänen","given":"Erkki"}],"issued":{"date-parts":[["2024",4,18]]}}},{"id":82,"uris":["http://zotero.org/users/local/CPEr2PVS/items/TKAPFIBW"],"itemData":{"id":82,"type":"article-journal","abstract":"Abstract\n            \n              Both steelmaking via an electric arc furnace and manufacturing of portland cement are energy-intensive and resource-exploiting processes, with great amounts of carbon dioxide (CO\n              2\n              ) emission and alkaline solid waste generation. In fact, most CO\n              2\n              capture and storage technologies are currently too expensive to be widely applied in industries. Moreover, proper stabilization prior to utilization of electric arc furnace slag are still challenging due to its high alkalinity, heavy metal leaching potentials and volume instability. Here we deploy an integrated approach to mineralizing flue gas CO\n              2\n              using electric arc furnace slag while utilizing the reacted product as supplementary cementitious materials to establish a waste-to-resource supply chain toward a circular economy. We found that the flue gas CO\n              2\n              was rapidly mineralized into calcite precipitates using electric arc furnace slag. The carbonated slag can be successfully utilized as green construction materials in blended cement mortar. By this modulus, the global CO\n              2\n              reduction potential using iron and steel slags was estimated to be ~138 million tons per year.","container-title":"Scientific Reports","DOI":"10.1038/s41598-017-17648-9","ISSN":"2045-2322","issue":"1","journalAbbreviation":"Sci Rep","language":"en","page":"17227","source":"DOI.org (Crossref)","title":"CO2 Mineralization and Utilization using Steel Slag for Establishing a Waste-to-Resource Supply Chain","volume":"7","author":[{"family":"Pan","given":"Shu-Yuan"},{"family":"Chung","given":"Tai-Chun"},{"family":"Ho","given":"Chang-Ching"},{"family":"Hou","given":"Chin-Jen"},{"family":"Chen","given":"Yi-Hung"},{"family":"Chiang","given":"Pen-Chi"}],"issued":{"date-parts":[["2017",12,8]]}}},{"id":147,"uris":["http://zotero.org/users/local/CPEr2PVS/items/CUR5RN8M"],"itemData":{"id":147,"type":"article-journal","abstract":"Mineral carbonation (MC) is one of the most important methods to sequester CO2 due to the advantages of permanently storage and abundant mineral resources. This work was designed to investigate the MC chemistry and kinetics in order to further develop carbonation technology. The comprehensive effects of all factors on MC of olivine were investigated. The mechanism of the reaction has been elucidated and can vary under different conditions. With high addition of sodium salts and high CO2 partial pressure (PCO2), the rate of MC was controlled by chemical reaction between H+ and olivine no matter how the other variables were changed. The H+ concentration in the void between the well-crystallized carbonates formed by carbonation and the non-reacted olivine was believed to be the same as that in the aqueous bulk solution. The decrease in particle size, increase in temperature, HCO3− concentration and ionic strength in solution can dramatically enhance the carbonation. With little addition of sodium salts, the MC was controlled by diffusion through the Si-rich layer surrounding the olivine core. In contrast, with high addition of sodium salts but low PCO2, the MC was controlled by diffusion through the dense carbonate layer. The addition of sodium bicarbonate can dramatically increase the ionic strength and aid the dissolution of Si to temporarily aqueous H4SiO4 followed by decomposition to amorphous silica and consequently the removal of Si-rich layer. Under low PCO2, there was a limited supply of CO32− ions, which resulted in the formation of a dense and poorly porous carbonate layer between a layer of well-crystallized carbonates and non-reacted olivine.","container-title":"Minerals Engineering","DOI":"10.1016/j.mineng.2018.11.024","ISSN":"08926875","journalAbbreviation":"Minerals Engineering","language":"en","page":"185-197","source":"DOI.org (Crossref)","title":"Kinetics and mechanism of mineral carbonation of olivine for CO2 sequestration","volume":"131","author":[{"family":"Wang","given":"Fei"},{"family":"Dreisinger","given":"David"},{"family":"Jarvis","given":"Mark"},{"family":"Hitchins","given":"Tony"}],"issued":{"date-parts":[["2019",1]]}}}],"schema":"https://github.com/citation-style-language/schema/raw/master/csl-citation.json"} </w:instrText>
      </w:r>
      <w:r w:rsidR="00185720" w:rsidRPr="00267C17">
        <w:fldChar w:fldCharType="separate"/>
      </w:r>
      <w:r w:rsidR="00CA5C33" w:rsidRPr="00CA5C33">
        <w:rPr>
          <w:rFonts w:cs="Times New Roman"/>
        </w:rPr>
        <w:t>[1–5]</w:t>
      </w:r>
      <w:r w:rsidR="00185720" w:rsidRPr="00267C17">
        <w:fldChar w:fldCharType="end"/>
      </w:r>
      <w:r w:rsidR="00185720" w:rsidRPr="00267C17">
        <w:t>.</w:t>
      </w:r>
    </w:p>
    <w:p w14:paraId="4BEBB734" w14:textId="502336F9" w:rsidR="006772D7" w:rsidRDefault="0097293A" w:rsidP="0097293A">
      <w:pPr>
        <w:pStyle w:val="BodyText"/>
        <w:spacing w:line="360" w:lineRule="auto"/>
        <w:jc w:val="both"/>
      </w:pPr>
      <w:r w:rsidRPr="0097293A">
        <w:lastRenderedPageBreak/>
        <w:t xml:space="preserve">Beyond permanent sequestration, the selection of carbonation feedstocks and operating conditions should also consider the intended end use of the resulting products. Mineral carbonation can generate materials useful in construction-related applications, including as supplementary cementitious materials (SCMs), making it relevant both as a storage pathway and a route for producing value-added materials </w:t>
      </w:r>
      <w:r w:rsidR="006772D7">
        <w:fldChar w:fldCharType="begin"/>
      </w:r>
      <w:r w:rsidR="00CA5C33">
        <w:instrText xml:space="preserve"> ADDIN ZOTERO_ITEM CSL_CITATION {"citationID":"0iXk1Mq3","properties":{"unsorted":false,"formattedCitation":"[1,6\\uc0\\u8211{}9]","plainCitation":"[1,6–9]","noteIndex":0},"citationItems":[{"id":63,"uris":["http://zotero.org/users/local/CPEr2PVS/items/6LBITNHC"],"itemData":{"id":63,"type":"article-journal","abstract":"Mineral carbonation is a promising and at the same time challenging option for the sequestration of anthropogenic CO\n              2\n              .\n            \n          , \n            \n              Carbon dioxide (CO\n              2\n              ) capture and sequestration includes a portfolio of technologies that can potentially sequester billions of tonnes of CO\n              2\n              per year. Mineral carbonation (MC) is emerging as a potential CCS technology solution to sequester CO\n              2\n              from smaller/medium emitters, where geological sequestration is not a viable option. In MC processes, CO\n              2\n              is chemically reacted with calcium- and/or magnesium-containing materials to form stable carbonates. This work investigates the current advancement in the proposed MC technologies and the role they can play in decreasing the overall cost of this CO\n              2\n              sequestration route.\n              In situ\n              mineral carbonation is a very promising option in terms of resources available and enhanced security, but the technology is still in its infancy and transport and storage costs are still higher than geological storage in sedimentary basins ($17 instead of $8 per tCO\n              2\n              ).\n              Ex situ\n              mineral carbonation has been demonstrated on pilot and demonstration scales. However, its application is currently limited by its high costs, which range from $50 to $300 per tCO\n              2\n              sequestered. Energy use, the reaction rate and material handling are the key factors hindering the success of this technology. The value of the products seems central to render MC economically viable in the same way as conventional CCS seems profitable only when combined with EOR. Large scale projects such as the Skyonic process can help in reducing the knowledge gaps on MC fundamentals and provide accurate costing and data on processes integration and comparison. The literature to date indicates that in the coming decades MC can play an important role in decarbonising the power and industrial sector.","container-title":"Chem. Soc. Rev.","DOI":"10.1039/C4CS00035H","ISSN":"0306-0012, 1460-4744","issue":"23","journalAbbreviation":"Chem. Soc. Rev.","language":"en","page":"8049-8080","source":"DOI.org (Crossref)","title":"A review of mineral carbonation technologies to sequester CO &lt;sub&gt;2&lt;/sub&gt;","volume":"43","author":[{"family":"Sanna","given":"A."},{"family":"Uibu","given":"M."},{"family":"Caramanna","given":"G."},{"family":"Kuusik","given":"R."},{"family":"Maroto-Valer","given":"M. M."}],"issued":{"date-parts":[["2014"]]}}},{"id":84,"uris":["http://zotero.org/users/local/CPEr2PVS/items/VVEUHXB6"],"itemData":{"id":84,"type":"article-journal","abstract":"The cement industry emits 7% of the global anthropogenic greenhouse gas (GHG) emissions. Reducing the GHG emissions of the cement industry is challenging since cement production stoichiometrically generates CO2 during calcination of limestone. In this work, we propose a pathway towards a carbonneutral cement industry using CO2 mineralization. CO2 mineralization converts CO2 into a thermodynamically stable solid and byproducts that can potentially substitute cement. Hence, CO2 mineralization could reduce the carbon footprint of the cement industry via two mechanisms: (1) capturing and storing CO2 from the ﬂue gas of the cement plant, and (2) reducing clinker usage by substituting cement. However, CO2 mineralization also generates GHG emissions due to the energy required for overcoming the slow reaction kinetics. We, therefore, analyze the carbon footprint of the combined CO2 mineralization and cement production based on life cycle assessment. Our results show that combined CO2 mineralization and cement production using today’s energy mix could reduce the carbon footprint of the cement industry by 44% or even up to 85% considering the theoretical potential. Lowcarbon energy or higher blending of mineralization products in cement could enable production of carbon-neutral blended cement. With direct air capture, the blended cement could even become carbon-negative. Thus, our results suggest that developing processes and products for combined CO2 mineralization and cement production could transform the cement industry from an unavoidable CO2 source to a CO2 sink.","container-title":"Environmental Science &amp; Technology","DOI":"10.1021/acs.est.0c07599","ISSN":"0013-936X, 1520-5851","issue":"8","journalAbbreviation":"Environ. Sci. Technol.","language":"en","page":"5212-5223","source":"DOI.org (Crossref)","title":"From Unavoidable CO &lt;sub&gt;2&lt;/sub&gt; Source to CO &lt;sub&gt;2&lt;/sub&gt; Sink? A Cement Industry Based on CO &lt;sub&gt;2&lt;/sub&gt; Mineralization","title-short":"From Unavoidable CO &lt;sub&gt;2&lt;/sub&gt; Source to CO &lt;sub&gt;2&lt;/sub&gt; Sink?","volume":"55","author":[{"family":"Ostovari","given":"Hesam"},{"family":"Müller","given":"Leonard"},{"family":"Skocek","given":"Jan"},{"family":"Bardow","given":"André"}],"issued":{"date-parts":[["2021",4,20]]}}},{"id":287,"uris":["http://zotero.org/users/local/CPEr2PVS/items/I6UUAT7A"],"itemData":{"id":287,"type":"article-journal","abstract":"The cement industry, a foundation of global infrastructure development, significantly contributes to environmental pollution. Key sources of pollution include dust emissions; greenhouse gases, particularly carbon dioxide; and the release of toxic substances such as heavy metals and particulate matter. These pollutants contribute to air, water, and soil degradation and are linked to severe health conditions in nearby populations, including respiratory disorders, cardiovascular diseases, and increased mortality rates. Noise pollution is also a significant issue, inducing auditory diseases that affect most workers in cement plants, and disturbing the population living in the neighborhoods and fauna behavior. This review explores the pollution paths and the multifaceted impacts of cement production on the environment. It also highlights the social challenges faced by communities, underscoring the urgent need for stricter environmental policies and the adoption of greener technologies to mitigate the adverse effects of cement production on both the environment and human health.","container-title":"Toxics","DOI":"10.3390/toxics13070587","ISSN":"2305-6304","issue":"7","journalAbbreviation":"Toxics","language":"en","page":"587","source":"DOI.org (Crossref)","title":"Cement Industry Pollution and Its Impact on the Environment and Population Health: A Review","title-short":"Cement Industry Pollution and Its Impact on the Environment and Population Health","volume":"13","author":[{"family":"Bărbulescu","given":"Alina"},{"family":"Hosen","given":"Kamal"}],"issued":{"date-parts":[["2025",7,14]]}}},{"id":284,"uris":["http://zotero.org/users/local/CPEr2PVS/items/GNVSWMC3"],"itemData":{"id":284,"type":"article-journal","container-title":"Journal of CO2 Utilization","DOI":"10.1016/j.jcou.2022.102292","ISSN":"22129820","journalAbbreviation":"Journal of CO2 Utilization","language":"en","page":"102292","source":"DOI.org (Crossref)","title":"A review on CO2 capture and sequestration in the construction industry: Emerging approaches and commercialised technologies","title-short":"A review on CO2 capture and sequestration in the construction industry","volume":"67","author":[{"family":"Hanifa","given":"Mohd"},{"family":"Agarwal","given":"R."},{"family":"Sharma","given":"U."},{"family":"Thapliyal","given":"P.C."},{"family":"Singh","given":"L.P."}],"issued":{"date-parts":[["2023",1]]}}},{"id":392,"uris":["http://zotero.org/users/local/CPEr2PVS/items/ZU22E8UL"],"itemData":{"id":392,"type":"article-journal","abstract":"With increasing interest in utilizing metallurgical slags for mineral carbonation, there is a need to find applications for carbonated slags. The scope of this study is to explore the utilization potential of carbonated steel furnace slags (SFS) as supplementary cementitious materials (SCM) to produce low-CO2 cement-based materials. Two different types of SFS are studied with comparable amounts of major oxides but significantly different mineral phase compositions. In the first phase of the study, several parameters that affect the CO2 uptake during mineral carbonation are considered (temperature, CO2 pressure, particle size, and duration) for the two slags namely, basic oxygen furnace slag (BOFS) and desulfurized slag (DeSS). Among the two slags, the DeSS exhibited significantly higher degrees of carbonation than BOFS, and the higher carbonation of DeSS is attributed to the presence of Ca as Ca(OH)2 rather than Ca–Si in BOFS. For both the slags, increase in temperature and CO2 pressure generally led to increase in the degree of carbonation. In the second phase of the study, 30 wt% of white Portland cement (WPC) was replaced by carbonated slags (used as SCM) in the cement mixture. The cement mixture with the BOFS carbonated at 60 ◦C and 1 bar CO2 pressure, as SCM, exhibited compressive strength comparable with that of WPC. Higher degrees and rates of carbonation under different conditions appears to have reduced their reactivities as SCM.","container-title":"Cement and Concrete Composites","DOI":"10.1016/j.cemconcomp.2023.105213","ISSN":"09589465","journalAbbreviation":"Cement and Concrete Composites","language":"en","page":"105213","source":"DOI.org (Crossref)","title":"Carbonated steel slags as supplementary cementitious materials: Reaction kinetics and phase evolution","title-short":"Carbonated steel slags as supplementary cementitious materials","volume":"142","author":[{"family":"Srivastava","given":"Sumit"},{"family":"Cerutti","given":"Michela"},{"family":"Nguyen","given":"Hoang"},{"family":"Carvelli","given":"Valter"},{"family":"Kinnunen","given":"Paivo"},{"family":"Illikainen","given":"Mirja"}],"issued":{"date-parts":[["2023",9]]}}}],"schema":"https://github.com/citation-style-language/schema/raw/master/csl-citation.json"} </w:instrText>
      </w:r>
      <w:r w:rsidR="006772D7">
        <w:fldChar w:fldCharType="separate"/>
      </w:r>
      <w:r w:rsidR="00CA5C33" w:rsidRPr="00CA5C33">
        <w:rPr>
          <w:rFonts w:cs="Times New Roman"/>
        </w:rPr>
        <w:t>[1,6–9]</w:t>
      </w:r>
      <w:r w:rsidR="006772D7">
        <w:fldChar w:fldCharType="end"/>
      </w:r>
      <w:r w:rsidR="006772D7">
        <w:t>.</w:t>
      </w:r>
    </w:p>
    <w:p w14:paraId="2145AAA0" w14:textId="34C86AA4" w:rsidR="002611B8" w:rsidRPr="00206D04" w:rsidRDefault="0097293A" w:rsidP="0086092E">
      <w:pPr>
        <w:spacing w:line="360" w:lineRule="auto"/>
        <w:jc w:val="both"/>
        <w:rPr>
          <w:rFonts w:ascii="Times New Roman" w:eastAsia="Times New Roman" w:hAnsi="Times New Roman" w:cs="Times New Roman"/>
        </w:rPr>
      </w:pPr>
      <w:r w:rsidRPr="0097293A">
        <w:t>Calcium silicates are particularly attractive carbonation feedstocks due to their favorable reactivity under aqueous conditions. Wollastonite (</w:t>
      </w:r>
      <w:proofErr w:type="spellStart"/>
      <w:r w:rsidRPr="0097293A">
        <w:t>CaSiO</w:t>
      </w:r>
      <w:proofErr w:type="spellEnd"/>
      <w:r w:rsidRPr="0097293A">
        <w:t>₃) is considered one of the most promising naturally occurring calcium silicate minerals owing to its high carbonation reactivity and relatively high natural abundance, and is frequently used as a model material for investigating carbonation pathways</w:t>
      </w:r>
      <w:r>
        <w:t xml:space="preserve"> </w:t>
      </w:r>
      <w:r w:rsidR="00185720" w:rsidRPr="00267C17">
        <w:fldChar w:fldCharType="begin"/>
      </w:r>
      <w:r w:rsidR="00DE1978">
        <w:instrText xml:space="preserve"> ADDIN ZOTERO_ITEM CSL_CITATION {"citationID":"EaHhGfOo","properties":{"unsorted":false,"formattedCitation":"[1,10\\uc0\\u8211{}12]","plainCitation":"[1,10–12]","noteIndex":0},"citationItems":[{"id":63,"uris":["http://zotero.org/users/local/CPEr2PVS/items/6LBITNHC"],"itemData":{"id":63,"type":"article-journal","abstract":"Mineral carbonation is a promising and at the same time challenging option for the sequestration of anthropogenic CO\n              2\n              .\n            \n          , \n            \n              Carbon dioxide (CO\n              2\n              ) capture and sequestration includes a portfolio of technologies that can potentially sequester billions of tonnes of CO\n              2\n              per year. Mineral carbonation (MC) is emerging as a potential CCS technology solution to sequester CO\n              2\n              from smaller/medium emitters, where geological sequestration is not a viable option. In MC processes, CO\n              2\n              is chemically reacted with calcium- and/or magnesium-containing materials to form stable carbonates. This work investigates the current advancement in the proposed MC technologies and the role they can play in decreasing the overall cost of this CO\n              2\n              sequestration route.\n              In situ\n              mineral carbonation is a very promising option in terms of resources available and enhanced security, but the technology is still in its infancy and transport and storage costs are still higher than geological storage in sedimentary basins ($17 instead of $8 per tCO\n              2\n              ).\n              Ex situ\n              mineral carbonation has been demonstrated on pilot and demonstration scales. However, its application is currently limited by its high costs, which range from $50 to $300 per tCO\n              2\n              sequestered. Energy use, the reaction rate and material handling are the key factors hindering the success of this technology. The value of the products seems central to render MC economically viable in the same way as conventional CCS seems profitable only when combined with EOR. Large scale projects such as the Skyonic process can help in reducing the knowledge gaps on MC fundamentals and provide accurate costing and data on processes integration and comparison. The literature to date indicates that in the coming decades MC can play an important role in decarbonising the power and industrial sector.","container-title":"Chem. Soc. Rev.","DOI":"10.1039/C4CS00035H","ISSN":"0306-0012, 1460-4744","issue":"23","journalAbbreviation":"Chem. Soc. Rev.","language":"en","page":"8049-8080","source":"DOI.org (Crossref)","title":"A review of mineral carbonation technologies to sequester CO &lt;sub&gt;2&lt;/sub&gt;","volume":"43","author":[{"family":"Sanna","given":"A."},{"family":"Uibu","given":"M."},{"family":"Caramanna","given":"G."},{"family":"Kuusik","given":"R."},{"family":"Maroto-Valer","given":"M. M."}],"issued":{"date-parts":[["2014"]]}}},{"id":97,"uris":["http://zotero.org/users/local/CPEr2PVS/items/6KXVVYTH"],"itemData":{"id":97,"type":"article-journal","container-title":"Environmental Science &amp; Technology","DOI":"10.1021/es0619253","ISSN":"0013-936X, 1520-5851","issue":"7","journalAbbreviation":"Environ. Sci. Technol.","language":"en","page":"2587-2593","source":"DOI.org (Crossref)","title":"Ex Situ Aqueous Mineral Carbonation","volume":"41","author":[{"family":"Gerdemann","given":"Stephen J."},{"family":"O'Connor","given":"William K."},{"family":"Dahlin","given":"David C."},{"family":"Penner","given":"Larry R."},{"family":"Rush","given":"Hank"}],"issued":{"date-parts":[["2007",4,1]]}}},{"id":157,"uris":["http://zotero.org/users/local/CPEr2PVS/items/LRLK48EU","http://zotero.org/users/local/CPEr2PVS/items/RE3MI4H7"],"itemData":{"id":157,"type":"article-journal","abstract":"Reduction of greenhouse gas emissions is becoming a greater priority in the mining industry due to increasing social pressures, government incentives, and its consideration in companies stock evaluation. Carbon capture and sequestration in ultramafic tailings (mineral carbonation) is one technology companies can use to offset their carbon emissions. Mineral carbonation refers to the spontaneous reaction of carbon dioxide with divalent metal minerals, which safely and permanently stores carbon dioxide as a carbonate sediment. Carbon sequestration can occur passively in ultramafic mine tailings storage facilities or under optimized conditions in process designs. This review discusses the literature on mineral carbonation reaction mechanisms, candidate minerals, kinetic parameters, potential methods to accelerate mineral carbonation, examples of industry mineral carbonation, and mine-scale mineral carbonation modelling.","container-title":"Cleaner Engineering and Technology","DOI":"10.1016/j.clet.2022.100491","ISSN":"26667908","journalAbbreviation":"Cleaner Engineering and Technology","language":"en","page":"100491","source":"DOI.org (Crossref)","title":"Mineral carbonation of ultramafic tailings: A review of reaction mechanisms and kinetics, industry case studies, and modelling","title-short":"Mineral carbonation of ultramafic tailings","volume":"8","author":[{"family":"Stokreef","given":"Stephen"},{"family":"Sadri","given":"Farzaneh"},{"family":"Stokreef","given":"Arthur"},{"family":"Ghahreman","given":"Ahmad"}],"issued":{"date-parts":[["2022",6]]}}},{"id":394,"uris":["http://zotero.org/users/local/CPEr2PVS/items/G25NZZZD"],"itemData":{"id":394,"type":"article-journal","DOI":"10.13140/RG.2.2.23658.31684","publisher":"US DOE","source":"DOI.org (Datacite)","title":"Aqueous Mineral Carbonation: Mineral Availability, Pretreatment, Reaction Parametrics, and Process Studies","title-short":"Aqueous Mineral Carbonation","URL":"https://www.researchgate.net/doi/10.13140/RG.2.2.23658.31684","author":[{"family":"Oconnor","given":"William"},{"literal":"D.C. Dahlin"},{"literal":"G.E. Rush"},{"literal":"S.J. Gerdemann"},{"literal":"L.R. Penner"},{"literal":"D.N. Nilsen"}],"accessed":{"date-parts":[["2026",5,17]]},"issued":{"date-parts":[["2005"]]}}}],"schema":"https://github.com/citation-style-language/schema/raw/master/csl-citation.json"} </w:instrText>
      </w:r>
      <w:r w:rsidR="00185720" w:rsidRPr="00267C17">
        <w:fldChar w:fldCharType="separate"/>
      </w:r>
      <w:r w:rsidR="00024321" w:rsidRPr="00024321">
        <w:rPr>
          <w:rFonts w:cs="Times New Roman"/>
        </w:rPr>
        <w:t>[1,10–12]</w:t>
      </w:r>
      <w:r w:rsidR="00185720" w:rsidRPr="00267C17">
        <w:fldChar w:fldCharType="end"/>
      </w:r>
      <w:r w:rsidR="00616887" w:rsidRPr="00267C17">
        <w:t xml:space="preserve">. </w:t>
      </w:r>
      <w:r w:rsidRPr="0097293A">
        <w:t>Under wet conditions, wollastonite carbonation proceeds through coupled steps: CO₂ dissolution, formation of dissolved carbonate species, silicate dissolution with Ca-ion release, and precipitation of carbonate products, typically calcite. These steps occur simultaneously and interact through surface modification, product-layer formation, and transport resistance, resulting in more complex overall behavior than a single-step reaction</w:t>
      </w:r>
      <w:r>
        <w:t xml:space="preserve"> </w:t>
      </w:r>
      <w:r w:rsidR="00185720" w:rsidRPr="00267C17">
        <w:fldChar w:fldCharType="begin"/>
      </w:r>
      <w:r w:rsidR="006E728E">
        <w:instrText xml:space="preserve"> ADDIN ZOTERO_ITEM CSL_CITATION {"citationID":"heQDVJwl","properties":{"unsorted":false,"formattedCitation":"[13\\uc0\\u8211{}16]","plainCitation":"[13–16]","noteIndex":0},"citationItems":[{"id":241,"uris":["http://zotero.org/users/local/CPEr2PVS/items/UQIX5G7F"],"itemData":{"id":241,"type":"article-journal","abstract":"Carbonation reactions of wollastonite have been investigated in experiments conducted at conditions relevant to geologic CO2 sequestration in subsurface environments (T = 90 °C and pCO2 = 25 MPa). Experiments were performed in batch reactors on single-mineral powders of selected grain size, either in supercritical CO2 or in aqueous solutions with different alkalinities. The main reaction products were calcite and amorphous silica. Calcite occurred either as a compact, continuous coating of small crystals in the case of supercritical CO2 and in circum-neutral pH aqueous solutions, or as isolated larger crystals in acidic aqueous solutions. Measured extents of carbonation were faster in aqueous solutions than in supercritical CO2. Extents of carbonation in aqueous acidic solutions were modelled using a geochemical code incorporating kinetic parameters for wollastonite dissolution and calcite precipitation taken from the literature. Comparison with experimental results shows that, in aqueous solutions, wollastonite dissolution is the rate-limiting step of the carbonation reaction and that silica layers have only a minor passivation effect on the overall reaction rate. In acidic solutions, secondary calcite coating has only a minor effect on carbonation extent, whereas the experimental data in circum-neutral pH aqueous solutions are consistent with dissolution rates inhibited by the observed dense calcite coating. A geochemical code incorporating a modiﬁed reactive surface model successfully accounted for this passivation effect. The more efﬁcient carbonation in acidic than in circumneutral pH solutions is thus ascribed to differences in microstructures of the secondary calcite layers due to differences in supersaturation states of calcite when its precipitation begins. Inhibitory effects of dense calcite coating are also invoked for limiting carbonation extents of wollastonite in supercritical CO2. Secondary calcite precipitations are thus shown to play a major role both as coatings of reactive surfaces and by maintaining large undersaturation with respect to wollastonite dissolution.","container-title":"Chemical Geology","DOI":"10.1016/j.chemgeo.2009.01.022","ISSN":"00092541","issue":"1-2","journalAbbreviation":"Chemical Geology","language":"en","license":"https://www.elsevier.com/tdm/userlicense/1.0/","page":"63-78","source":"DOI.org (Crossref)","title":"Carbonation of Ca-bearing silicates, the case of wollastonite: Experimental investigations and kinetic modeling","title-short":"Carbonation of Ca-bearing silicates, the case of wollastonite","volume":"265","author":[{"family":"Daval","given":"Damien"},{"family":"Martinez","given":"Isabelle"},{"family":"Corvisier","given":"Jérôme"},{"family":"Findling","given":"Nathaniel"},{"family":"Goffé","given":"Bruno"},{"family":"Guyot","given":"François"}],"issued":{"date-parts":[["2009",7]]}}},{"id":255,"uris":["http://zotero.org/users/local/CPEr2PVS/items/9FBG5989"],"itemData":{"id":255,"type":"article-journal","abstract":"One of the most promising strategies for the safe and permanent disposal of anthropogenic CO2 is its conversion into carbonate minerals via the carbonation of calcium and magnesium silicates. However, the mechanism of such a reaction is not well constrained, and its slow kinetics is a handicap for the implementation of silicate mineral carbonation as an effective method for CO2 capture and storage (CCS). Here, we studied the different steps of wollastonite (CaSiO3) carbonation (silicate dissolution → carbonate precipitation) as a model CCS system for the screening of natural and biomimetic catalysts for this reaction. Tested catalysts included carbonic anhydrase (CA), a natural enzyme that catalyzes the reversible hydration of CO2(aq), and biomimetic metal-organic frameworks (MOFs). Our results show that dissolution is the rate-limiting step for wollastonite carbonation. The overall reaction progresses anisotropically along different [hkl] directions via a pseudomorphic interface-coupled dissolution–precipitation mechanism, leading to partial passivation via secondary surface precipitation of amorphous silica and calcite, which in both cases is anisotropic (i.e., (hkl)-specific). CA accelerates the final carbonate precipitation step but hinders the overall carbonation of wollastonite. Remarkably, one of the tested Zr-based MOFs accelerates the dissolution of the silicate. The use of MOFs for enhanced silicate dissolution alone or in combination with other natural or biomimetic catalysts for accelerated carbonation could represent a potentially effective strategy for enhanced mineral CCS.","container-title":"Minerals","DOI":"10.3390/min8050209","ISSN":"2075-163X","issue":"5","journalAbbreviation":"Minerals","language":"en","page":"209","source":"DOI.org (Crossref)","title":"The Carbonation of Wollastonite: A Model Reaction to Test Natural and Biomimetic Catalysts for Enhanced CO2 Sequestration","title-short":"The Carbonation of Wollastonite","volume":"8","author":[{"family":"Di Lorenzo","given":"Fulvio"},{"family":"Ruiz-Agudo","given":"Cristina"},{"family":"Ibañez-Velasco","given":"Aurelia"},{"family":"Gil-San Millán","given":"Rodrigo"},{"family":"Navarro","given":"Jorge"},{"family":"Ruiz-Agudo","given":"Encarnacion"},{"family":"Rodriguez-Navarro","given":"Carlos"}],"issued":{"date-parts":[["2018",5,11]]}}},{"id":229,"uris":["http://zotero.org/users/local/CPEr2PVS/items/VTJCRFST"],"itemData":{"id":229,"type":"article-journal","abstract":"The mechanisms of aqueous wollastonite carbonation as a possible carbon dioxide sequestration process were investigated experimentally by systematic variation of the reaction temperature, CO2 pressure, particle size, reaction time, liquid to solid ratio and agitation power. The carbonation reaction was observed to occur via the aqueous phase in two steps: (1) Ca leaching from the CaSiO3 matrix and (2) CaCO3 nucleation and growth. Leaching is hindered by a Ca-depleted silicate rim resulting from incongruent Ca-dissolution. Two temperature regimes were identiﬁed in the overall carbonation process. At temperatures below an optimum reaction temperature, the overall reaction rate is probably limited by the leaching rate of Ca. At higher temperatures, nucleation and growth of calcium carbonate are probably limiting the conversion, due to a reduced (bi)carbonate activity. The mechanisms for the aqueous carbonation of wollastonite were shown to be similar to those reported previously for an industrial residue and a Mg–silicate. The carbonation of wollastonite proceeds rapidly relative to Mg–silicates, with a maximum conversion in 15 min of 70% at 200 ◦C, 20 bar CO2 partial pressure and particle size of &lt; 38 m. The obtained insight in the reaction mechanisms enables the energetic and economic assessment of CO2 sequestration by wollastonite carbonation, which forms an essential next step in its further development.","container-title":"Chemical Engineering Science","DOI":"10.1016/j.ces.2006.01.048","ISSN":"00092509","issue":"13","journalAbbreviation":"Chemical Engineering Science","language":"en","page":"4242-4251","source":"DOI.org (Crossref)","title":"Mechanisms of aqueous wollastonite carbonation as a possible CO2 sequestration process","volume":"61","author":[{"family":"Huijgen","given":"Wouter J.J."},{"family":"Witkamp","given":"Geert-Jan"},{"family":"Comans","given":"Rob N.J."}],"issued":{"date-parts":[["2006",7]]}}},{"id":411,"uris":["http://zotero.org/users/local/CPEr2PVS/items/74CSCWTB"],"itemData":{"id":411,"type":"article-journal","container-title":"Environmental Science &amp; Technology Letters","DOI":"10.1021/acs.estlett.8b00386","ISSN":"2328-8930, 2328-8930","issue":"9","journalAbbreviation":"Environ. Sci. Technol. Lett.","language":"en","page":"558-563","source":"DOI.org (Crossref)","title":"Calcium Silicate Crystal Structure Impacts Reactivity with CO&lt;sub&gt;2&lt;/sub&gt; and Precipitate Chemistry","volume":"5","author":[{"family":"Plattenberger","given":"Dan A."},{"family":"Ling","given":"Florence T."},{"family":"Tao","given":"Zhiyuan"},{"family":"Peters","given":"Catherine A."},{"family":"Clarens","given":"Andres F."}],"issued":{"date-parts":[["2018",9,11]]}}}],"schema":"https://github.com/citation-style-language/schema/raw/master/csl-citation.json"} </w:instrText>
      </w:r>
      <w:r w:rsidR="00185720" w:rsidRPr="00267C17">
        <w:fldChar w:fldCharType="separate"/>
      </w:r>
      <w:r w:rsidR="006E728E" w:rsidRPr="006E728E">
        <w:rPr>
          <w:rFonts w:cs="Times New Roman"/>
        </w:rPr>
        <w:t>[13–16]</w:t>
      </w:r>
      <w:r w:rsidR="00185720" w:rsidRPr="00267C17">
        <w:fldChar w:fldCharType="end"/>
      </w:r>
      <w:r w:rsidR="00616887" w:rsidRPr="00267C17">
        <w:t>.</w:t>
      </w:r>
      <w:r w:rsidR="00CC6A13" w:rsidRPr="00CC6A13">
        <w:rPr>
          <w:rFonts w:ascii="Times New Roman" w:eastAsia="Times New Roman" w:hAnsi="Times New Roman" w:cs="Times New Roman"/>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05"/>
        <w:gridCol w:w="496"/>
      </w:tblGrid>
      <w:tr w:rsidR="00CC6A13" w14:paraId="0CEA1339" w14:textId="77777777" w:rsidTr="0086092E">
        <w:trPr>
          <w:trHeight w:val="1057"/>
          <w:jc w:val="center"/>
        </w:trPr>
        <w:tc>
          <w:tcPr>
            <w:tcW w:w="8905" w:type="dxa"/>
          </w:tcPr>
          <w:p w14:paraId="4647C63A" w14:textId="7D1CDF81" w:rsidR="00206D04" w:rsidRDefault="00206D04" w:rsidP="0086092E">
            <w:pPr>
              <w:jc w:val="both"/>
              <w:rPr>
                <w:rFonts w:ascii="Times New Roman" w:eastAsia="Times New Roman" w:hAnsi="Times New Roman" w:cs="Times New Roman"/>
              </w:rPr>
            </w:pPr>
            <w:r w:rsidRPr="00253079">
              <w:rPr>
                <w:rFonts w:ascii="Times New Roman" w:eastAsia="Times New Roman" w:hAnsi="Times New Roman" w:cs="Times New Roman"/>
              </w:rPr>
              <w:t>CO</w:t>
            </w:r>
            <w:r w:rsidRPr="00253079">
              <w:rPr>
                <w:rFonts w:ascii="Times New Roman" w:eastAsia="Times New Roman" w:hAnsi="Times New Roman" w:cs="Times New Roman"/>
                <w:vertAlign w:val="subscript"/>
              </w:rPr>
              <w:t>2</w:t>
            </w:r>
            <w:r w:rsidRPr="00253079">
              <w:rPr>
                <w:rFonts w:ascii="Times New Roman" w:eastAsia="Times New Roman" w:hAnsi="Times New Roman" w:cs="Times New Roman"/>
              </w:rPr>
              <w:t xml:space="preserve"> dissolution and (bi)carbonate species </w:t>
            </w:r>
            <w:r>
              <w:rPr>
                <w:rFonts w:ascii="Times New Roman" w:eastAsia="Times New Roman" w:hAnsi="Times New Roman" w:cs="Times New Roman"/>
              </w:rPr>
              <w:t>formation:</w:t>
            </w:r>
          </w:p>
          <w:p w14:paraId="7B66EE90" w14:textId="5439BE56" w:rsidR="00CC6A13" w:rsidRPr="00206D04" w:rsidRDefault="00CC6A13" w:rsidP="0086092E">
            <w:pPr>
              <w:jc w:val="both"/>
              <w:rPr>
                <w:rFonts w:ascii="Times New Roman" w:eastAsia="Times New Roman" w:hAnsi="Times New Roman" w:cs="Times New Roman"/>
              </w:rPr>
            </w:pPr>
            <w:r w:rsidRPr="00253079">
              <w:rPr>
                <w:rFonts w:ascii="Times New Roman" w:eastAsia="Times New Roman" w:hAnsi="Times New Roman" w:cs="Times New Roman"/>
              </w:rPr>
              <w:t>CO</w:t>
            </w:r>
            <w:r w:rsidRPr="00253079">
              <w:rPr>
                <w:rFonts w:ascii="Times New Roman" w:eastAsia="Times New Roman" w:hAnsi="Times New Roman" w:cs="Times New Roman"/>
                <w:vertAlign w:val="subscript"/>
              </w:rPr>
              <w:t>2</w:t>
            </w:r>
            <w:r w:rsidRPr="00253079">
              <w:rPr>
                <w:rFonts w:ascii="Times New Roman" w:eastAsia="Times New Roman" w:hAnsi="Times New Roman" w:cs="Times New Roman"/>
              </w:rPr>
              <w:t xml:space="preserve"> (g) + H</w:t>
            </w:r>
            <w:r w:rsidRPr="00253079">
              <w:rPr>
                <w:rFonts w:ascii="Times New Roman" w:eastAsia="Times New Roman" w:hAnsi="Times New Roman" w:cs="Times New Roman"/>
                <w:vertAlign w:val="subscript"/>
              </w:rPr>
              <w:t>2</w:t>
            </w:r>
            <w:r w:rsidRPr="00253079">
              <w:rPr>
                <w:rFonts w:ascii="Times New Roman" w:eastAsia="Times New Roman" w:hAnsi="Times New Roman" w:cs="Times New Roman"/>
              </w:rPr>
              <w:t xml:space="preserve">O (l) </w:t>
            </w:r>
            <m:oMath>
              <m:r>
                <m:rPr>
                  <m:nor/>
                </m:rPr>
                <w:rPr>
                  <w:rFonts w:ascii="Cambria Math" w:eastAsia="Times New Roman" w:hAnsi="Cambria Math" w:cs="Times New Roman"/>
                </w:rPr>
                <m:t>↔</m:t>
              </m:r>
            </m:oMath>
            <w:r w:rsidRPr="00253079">
              <w:rPr>
                <w:rFonts w:ascii="Times New Roman" w:eastAsia="Times New Roman" w:hAnsi="Times New Roman" w:cs="Times New Roman"/>
              </w:rPr>
              <w:t xml:space="preserve"> H</w:t>
            </w:r>
            <w:r w:rsidRPr="00253079">
              <w:rPr>
                <w:rFonts w:ascii="Times New Roman" w:eastAsia="Times New Roman" w:hAnsi="Times New Roman" w:cs="Times New Roman"/>
                <w:vertAlign w:val="subscript"/>
              </w:rPr>
              <w:t>2</w:t>
            </w:r>
            <w:r w:rsidRPr="00253079">
              <w:rPr>
                <w:rFonts w:ascii="Times New Roman" w:eastAsia="Times New Roman" w:hAnsi="Times New Roman" w:cs="Times New Roman"/>
              </w:rPr>
              <w:t>CO</w:t>
            </w:r>
            <w:r w:rsidRPr="00253079">
              <w:rPr>
                <w:rFonts w:ascii="Times New Roman" w:eastAsia="Times New Roman" w:hAnsi="Times New Roman" w:cs="Times New Roman"/>
                <w:vertAlign w:val="subscript"/>
              </w:rPr>
              <w:t>3</w:t>
            </w:r>
            <w:r w:rsidRPr="00253079">
              <w:rPr>
                <w:rFonts w:ascii="Times New Roman" w:eastAsia="Times New Roman" w:hAnsi="Times New Roman" w:cs="Times New Roman"/>
              </w:rPr>
              <w:t xml:space="preserve"> (</w:t>
            </w:r>
            <w:proofErr w:type="spellStart"/>
            <w:r w:rsidRPr="00253079">
              <w:rPr>
                <w:rFonts w:ascii="Times New Roman" w:eastAsia="Times New Roman" w:hAnsi="Times New Roman" w:cs="Times New Roman"/>
              </w:rPr>
              <w:t>aq</w:t>
            </w:r>
            <w:proofErr w:type="spellEnd"/>
            <w:r w:rsidRPr="00253079">
              <w:rPr>
                <w:rFonts w:ascii="Times New Roman" w:eastAsia="Times New Roman" w:hAnsi="Times New Roman" w:cs="Times New Roman"/>
              </w:rPr>
              <w:t xml:space="preserve">) </w:t>
            </w:r>
            <m:oMath>
              <m:r>
                <m:rPr>
                  <m:nor/>
                </m:rPr>
                <w:rPr>
                  <w:rFonts w:ascii="Cambria Math" w:eastAsia="Times New Roman" w:hAnsi="Cambria Math" w:cs="Times New Roman"/>
                </w:rPr>
                <m:t>↔</m:t>
              </m:r>
            </m:oMath>
            <w:r w:rsidRPr="00253079">
              <w:rPr>
                <w:rFonts w:ascii="Times New Roman" w:eastAsia="Times New Roman" w:hAnsi="Times New Roman" w:cs="Times New Roman"/>
              </w:rPr>
              <w:t xml:space="preserve"> HCO</w:t>
            </w:r>
            <w:r w:rsidRPr="00253079">
              <w:rPr>
                <w:rFonts w:ascii="Times New Roman" w:eastAsia="Times New Roman" w:hAnsi="Times New Roman" w:cs="Times New Roman"/>
                <w:vertAlign w:val="subscript"/>
              </w:rPr>
              <w:t>3</w:t>
            </w:r>
            <w:r w:rsidRPr="00253079">
              <w:rPr>
                <w:rFonts w:ascii="Times New Roman" w:eastAsia="Times New Roman" w:hAnsi="Times New Roman" w:cs="Times New Roman"/>
                <w:vertAlign w:val="superscript"/>
              </w:rPr>
              <w:t>−</w:t>
            </w:r>
            <w:r w:rsidRPr="00253079">
              <w:rPr>
                <w:rFonts w:ascii="Times New Roman" w:eastAsia="Times New Roman" w:hAnsi="Times New Roman" w:cs="Times New Roman"/>
              </w:rPr>
              <w:t xml:space="preserve"> (</w:t>
            </w:r>
            <w:proofErr w:type="spellStart"/>
            <w:r w:rsidRPr="00253079">
              <w:rPr>
                <w:rFonts w:ascii="Times New Roman" w:eastAsia="Times New Roman" w:hAnsi="Times New Roman" w:cs="Times New Roman"/>
              </w:rPr>
              <w:t>aq</w:t>
            </w:r>
            <w:proofErr w:type="spellEnd"/>
            <w:r w:rsidRPr="00253079">
              <w:rPr>
                <w:rFonts w:ascii="Times New Roman" w:eastAsia="Times New Roman" w:hAnsi="Times New Roman" w:cs="Times New Roman"/>
              </w:rPr>
              <w:t>) + H</w:t>
            </w:r>
            <w:r w:rsidRPr="00253079">
              <w:rPr>
                <w:rFonts w:ascii="Times New Roman" w:eastAsia="Times New Roman" w:hAnsi="Times New Roman" w:cs="Times New Roman"/>
                <w:vertAlign w:val="superscript"/>
              </w:rPr>
              <w:t>+</w:t>
            </w:r>
            <w:r w:rsidRPr="00253079">
              <w:rPr>
                <w:rFonts w:ascii="Times New Roman" w:eastAsia="Times New Roman" w:hAnsi="Times New Roman" w:cs="Times New Roman"/>
              </w:rPr>
              <w:t xml:space="preserve"> (</w:t>
            </w:r>
            <w:proofErr w:type="spellStart"/>
            <w:r w:rsidRPr="00253079">
              <w:rPr>
                <w:rFonts w:ascii="Times New Roman" w:eastAsia="Times New Roman" w:hAnsi="Times New Roman" w:cs="Times New Roman"/>
              </w:rPr>
              <w:t>aq</w:t>
            </w:r>
            <w:proofErr w:type="spellEnd"/>
            <w:r w:rsidRPr="00253079">
              <w:rPr>
                <w:rFonts w:ascii="Times New Roman" w:eastAsia="Times New Roman" w:hAnsi="Times New Roman" w:cs="Times New Roman"/>
              </w:rPr>
              <w:t>)</w:t>
            </w:r>
          </w:p>
        </w:tc>
        <w:tc>
          <w:tcPr>
            <w:tcW w:w="491" w:type="dxa"/>
          </w:tcPr>
          <w:p w14:paraId="36DB0F63" w14:textId="6A3AECEA" w:rsidR="00CC6A13" w:rsidRDefault="00CC6A13" w:rsidP="00206D04">
            <w:pPr>
              <w:pStyle w:val="BodyText"/>
              <w:spacing w:line="360" w:lineRule="auto"/>
              <w:jc w:val="both"/>
            </w:pPr>
            <w:r w:rsidRPr="00206D04">
              <w:rPr>
                <w:rFonts w:ascii="Times New Roman" w:eastAsia="Times New Roman" w:hAnsi="Times New Roman" w:cs="Times New Roman"/>
              </w:rPr>
              <w:t>(</w:t>
            </w:r>
            <w:r w:rsidRPr="00206D04">
              <w:rPr>
                <w:rFonts w:ascii="Times New Roman" w:eastAsia="Times New Roman" w:hAnsi="Times New Roman" w:cs="Times New Roman"/>
              </w:rPr>
              <w:fldChar w:fldCharType="begin"/>
            </w:r>
            <w:r w:rsidRPr="00206D04">
              <w:rPr>
                <w:rFonts w:ascii="Times New Roman" w:eastAsia="Times New Roman" w:hAnsi="Times New Roman" w:cs="Times New Roman"/>
              </w:rPr>
              <w:instrText xml:space="preserve"> SEQ Eq </w:instrText>
            </w:r>
            <w:r w:rsidRPr="00206D04">
              <w:rPr>
                <w:rFonts w:ascii="Times New Roman" w:eastAsia="Times New Roman" w:hAnsi="Times New Roman" w:cs="Times New Roman"/>
              </w:rPr>
              <w:fldChar w:fldCharType="separate"/>
            </w:r>
            <w:r w:rsidR="00A27D86">
              <w:rPr>
                <w:rFonts w:ascii="Times New Roman" w:eastAsia="Times New Roman" w:hAnsi="Times New Roman" w:cs="Times New Roman"/>
                <w:noProof/>
              </w:rPr>
              <w:t>1</w:t>
            </w:r>
            <w:r w:rsidRPr="00206D04">
              <w:rPr>
                <w:rFonts w:ascii="Times New Roman" w:eastAsia="Times New Roman" w:hAnsi="Times New Roman" w:cs="Times New Roman"/>
              </w:rPr>
              <w:fldChar w:fldCharType="end"/>
            </w:r>
            <w:r w:rsidRPr="00206D04">
              <w:rPr>
                <w:rFonts w:ascii="Times New Roman" w:eastAsia="Times New Roman" w:hAnsi="Times New Roman" w:cs="Times New Roman"/>
              </w:rPr>
              <w:t>)</w:t>
            </w:r>
          </w:p>
        </w:tc>
      </w:tr>
      <w:tr w:rsidR="00206D04" w14:paraId="634A4508" w14:textId="77777777" w:rsidTr="0086092E">
        <w:trPr>
          <w:trHeight w:val="527"/>
          <w:jc w:val="center"/>
        </w:trPr>
        <w:tc>
          <w:tcPr>
            <w:tcW w:w="8905" w:type="dxa"/>
          </w:tcPr>
          <w:p w14:paraId="68409E6F" w14:textId="77777777" w:rsidR="00206D04" w:rsidRDefault="00206D04" w:rsidP="0086092E">
            <w:pPr>
              <w:jc w:val="both"/>
              <w:rPr>
                <w:rFonts w:ascii="Times New Roman" w:eastAsia="Times New Roman" w:hAnsi="Times New Roman" w:cs="Times New Roman"/>
              </w:rPr>
            </w:pPr>
            <w:r>
              <w:rPr>
                <w:rFonts w:ascii="Times New Roman" w:eastAsia="Times New Roman" w:hAnsi="Times New Roman" w:cs="Times New Roman"/>
              </w:rPr>
              <w:t>Silicate (Wollastonite) dissolution</w:t>
            </w:r>
            <w:r w:rsidRPr="00253079">
              <w:rPr>
                <w:rFonts w:ascii="Times New Roman" w:eastAsia="Times New Roman" w:hAnsi="Times New Roman" w:cs="Times New Roman"/>
              </w:rPr>
              <w:t>:</w:t>
            </w:r>
          </w:p>
          <w:p w14:paraId="1DA30A6E" w14:textId="120AFB44" w:rsidR="00206D04" w:rsidRPr="00253079" w:rsidRDefault="00206D04" w:rsidP="0086092E">
            <w:pPr>
              <w:jc w:val="both"/>
              <w:rPr>
                <w:rFonts w:ascii="Times New Roman" w:eastAsia="Times New Roman" w:hAnsi="Times New Roman" w:cs="Times New Roman"/>
              </w:rPr>
            </w:pPr>
            <w:r w:rsidRPr="00253079">
              <w:rPr>
                <w:rFonts w:ascii="Times New Roman" w:eastAsia="Times New Roman" w:hAnsi="Times New Roman" w:cs="Times New Roman"/>
              </w:rPr>
              <w:t>CaSiO</w:t>
            </w:r>
            <w:r w:rsidRPr="00253079">
              <w:rPr>
                <w:rFonts w:ascii="Times New Roman" w:eastAsia="Times New Roman" w:hAnsi="Times New Roman" w:cs="Times New Roman"/>
                <w:vertAlign w:val="subscript"/>
              </w:rPr>
              <w:t>3</w:t>
            </w:r>
            <w:r w:rsidRPr="00253079">
              <w:rPr>
                <w:rFonts w:ascii="Times New Roman" w:eastAsia="Times New Roman" w:hAnsi="Times New Roman" w:cs="Times New Roman"/>
              </w:rPr>
              <w:t xml:space="preserve"> (s) + 2H</w:t>
            </w:r>
            <w:r w:rsidRPr="00253079">
              <w:rPr>
                <w:rFonts w:ascii="Times New Roman" w:eastAsia="Times New Roman" w:hAnsi="Times New Roman" w:cs="Times New Roman"/>
                <w:vertAlign w:val="superscript"/>
              </w:rPr>
              <w:t>+</w:t>
            </w:r>
            <w:r w:rsidRPr="00253079">
              <w:rPr>
                <w:rFonts w:ascii="Times New Roman" w:eastAsia="Times New Roman" w:hAnsi="Times New Roman" w:cs="Times New Roman"/>
              </w:rPr>
              <w:t xml:space="preserve"> (</w:t>
            </w:r>
            <w:proofErr w:type="spellStart"/>
            <w:r w:rsidRPr="00253079">
              <w:rPr>
                <w:rFonts w:ascii="Times New Roman" w:eastAsia="Times New Roman" w:hAnsi="Times New Roman" w:cs="Times New Roman"/>
              </w:rPr>
              <w:t>aq</w:t>
            </w:r>
            <w:proofErr w:type="spellEnd"/>
            <w:r w:rsidRPr="00253079">
              <w:rPr>
                <w:rFonts w:ascii="Times New Roman" w:eastAsia="Times New Roman" w:hAnsi="Times New Roman" w:cs="Times New Roman"/>
              </w:rPr>
              <w:t>) → Ca</w:t>
            </w:r>
            <w:r w:rsidRPr="00253079">
              <w:rPr>
                <w:rFonts w:ascii="Times New Roman" w:eastAsia="Times New Roman" w:hAnsi="Times New Roman" w:cs="Times New Roman"/>
                <w:vertAlign w:val="superscript"/>
              </w:rPr>
              <w:t>2+</w:t>
            </w:r>
            <w:r w:rsidRPr="00253079">
              <w:rPr>
                <w:rFonts w:ascii="Times New Roman" w:eastAsia="Times New Roman" w:hAnsi="Times New Roman" w:cs="Times New Roman"/>
              </w:rPr>
              <w:t xml:space="preserve"> (</w:t>
            </w:r>
            <w:proofErr w:type="spellStart"/>
            <w:r w:rsidRPr="00253079">
              <w:rPr>
                <w:rFonts w:ascii="Times New Roman" w:eastAsia="Times New Roman" w:hAnsi="Times New Roman" w:cs="Times New Roman"/>
              </w:rPr>
              <w:t>aq</w:t>
            </w:r>
            <w:proofErr w:type="spellEnd"/>
            <w:r w:rsidRPr="00253079">
              <w:rPr>
                <w:rFonts w:ascii="Times New Roman" w:eastAsia="Times New Roman" w:hAnsi="Times New Roman" w:cs="Times New Roman"/>
              </w:rPr>
              <w:t>) + H</w:t>
            </w:r>
            <w:r w:rsidRPr="00253079">
              <w:rPr>
                <w:rFonts w:ascii="Times New Roman" w:eastAsia="Times New Roman" w:hAnsi="Times New Roman" w:cs="Times New Roman"/>
                <w:vertAlign w:val="subscript"/>
              </w:rPr>
              <w:t>2</w:t>
            </w:r>
            <w:r w:rsidRPr="00253079">
              <w:rPr>
                <w:rFonts w:ascii="Times New Roman" w:eastAsia="Times New Roman" w:hAnsi="Times New Roman" w:cs="Times New Roman"/>
              </w:rPr>
              <w:t>O (l) + SiO</w:t>
            </w:r>
            <w:r w:rsidRPr="00253079">
              <w:rPr>
                <w:rFonts w:ascii="Times New Roman" w:eastAsia="Times New Roman" w:hAnsi="Times New Roman" w:cs="Times New Roman"/>
                <w:vertAlign w:val="subscript"/>
              </w:rPr>
              <w:t>2</w:t>
            </w:r>
            <w:r w:rsidRPr="00253079">
              <w:rPr>
                <w:rFonts w:ascii="Times New Roman" w:eastAsia="Times New Roman" w:hAnsi="Times New Roman" w:cs="Times New Roman"/>
              </w:rPr>
              <w:t xml:space="preserve"> </w:t>
            </w:r>
            <w:r>
              <w:rPr>
                <w:rFonts w:ascii="Times New Roman" w:eastAsia="Times New Roman" w:hAnsi="Times New Roman" w:cs="Times New Roman"/>
              </w:rPr>
              <w:t>(s)</w:t>
            </w:r>
          </w:p>
        </w:tc>
        <w:tc>
          <w:tcPr>
            <w:tcW w:w="491" w:type="dxa"/>
          </w:tcPr>
          <w:p w14:paraId="12D3D2CA" w14:textId="1AB5C09C" w:rsidR="00206D04" w:rsidRDefault="00206D04" w:rsidP="00206D04">
            <w:pPr>
              <w:pStyle w:val="BodyText"/>
              <w:spacing w:line="360" w:lineRule="auto"/>
              <w:jc w:val="both"/>
            </w:pPr>
            <w:r>
              <w:rPr>
                <w:rFonts w:ascii="Times New Roman" w:eastAsia="Times New Roman" w:hAnsi="Times New Roman" w:cs="Times New Roman"/>
              </w:rPr>
              <w:t>(</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seq eq </w:instrText>
            </w:r>
            <w:r>
              <w:rPr>
                <w:rFonts w:ascii="Times New Roman" w:eastAsia="Times New Roman" w:hAnsi="Times New Roman" w:cs="Times New Roman"/>
              </w:rPr>
              <w:fldChar w:fldCharType="separate"/>
            </w:r>
            <w:r w:rsidR="00A27D86">
              <w:rPr>
                <w:rFonts w:ascii="Times New Roman" w:eastAsia="Times New Roman" w:hAnsi="Times New Roman" w:cs="Times New Roman"/>
                <w:noProof/>
              </w:rPr>
              <w:t>2</w:t>
            </w:r>
            <w:r>
              <w:rPr>
                <w:rFonts w:ascii="Times New Roman" w:eastAsia="Times New Roman" w:hAnsi="Times New Roman" w:cs="Times New Roman"/>
              </w:rPr>
              <w:fldChar w:fldCharType="end"/>
            </w:r>
            <w:r>
              <w:rPr>
                <w:rFonts w:ascii="Times New Roman" w:eastAsia="Times New Roman" w:hAnsi="Times New Roman" w:cs="Times New Roman"/>
              </w:rPr>
              <w:t>)</w:t>
            </w:r>
          </w:p>
        </w:tc>
      </w:tr>
      <w:tr w:rsidR="00206D04" w14:paraId="2F58E0A8" w14:textId="77777777" w:rsidTr="0086092E">
        <w:trPr>
          <w:trHeight w:val="527"/>
          <w:jc w:val="center"/>
        </w:trPr>
        <w:tc>
          <w:tcPr>
            <w:tcW w:w="8905" w:type="dxa"/>
          </w:tcPr>
          <w:p w14:paraId="2C14CB26" w14:textId="0BA5D349" w:rsidR="00206D04" w:rsidRPr="00253079" w:rsidRDefault="00206D04" w:rsidP="0086092E">
            <w:pPr>
              <w:jc w:val="both"/>
              <w:rPr>
                <w:rFonts w:ascii="Times New Roman" w:eastAsia="Times New Roman" w:hAnsi="Times New Roman" w:cs="Times New Roman"/>
              </w:rPr>
            </w:pPr>
            <w:r>
              <w:rPr>
                <w:rFonts w:ascii="Times New Roman" w:eastAsia="Times New Roman" w:hAnsi="Times New Roman" w:cs="Times New Roman"/>
              </w:rPr>
              <w:t>(Calcium)Carbonate precipitation</w:t>
            </w:r>
            <w:r w:rsidRPr="00253079">
              <w:rPr>
                <w:rFonts w:ascii="Times New Roman" w:eastAsia="Times New Roman" w:hAnsi="Times New Roman" w:cs="Times New Roman"/>
              </w:rPr>
              <w:t xml:space="preserve">: </w:t>
            </w:r>
          </w:p>
          <w:p w14:paraId="0525C8BC" w14:textId="07AFD8CB" w:rsidR="00206D04" w:rsidRDefault="00206D04" w:rsidP="0086092E">
            <w:pPr>
              <w:jc w:val="both"/>
              <w:rPr>
                <w:rFonts w:ascii="Times New Roman" w:eastAsia="Times New Roman" w:hAnsi="Times New Roman" w:cs="Times New Roman"/>
              </w:rPr>
            </w:pPr>
            <w:r w:rsidRPr="00253079">
              <w:rPr>
                <w:rFonts w:ascii="Times New Roman" w:eastAsia="Times New Roman" w:hAnsi="Times New Roman" w:cs="Times New Roman"/>
              </w:rPr>
              <w:t>Ca</w:t>
            </w:r>
            <w:r w:rsidRPr="00253079">
              <w:rPr>
                <w:rFonts w:ascii="Times New Roman" w:eastAsia="Times New Roman" w:hAnsi="Times New Roman" w:cs="Times New Roman"/>
                <w:vertAlign w:val="superscript"/>
              </w:rPr>
              <w:t>2+</w:t>
            </w:r>
            <w:r w:rsidRPr="00253079">
              <w:rPr>
                <w:rFonts w:ascii="Times New Roman" w:eastAsia="Times New Roman" w:hAnsi="Times New Roman" w:cs="Times New Roman"/>
              </w:rPr>
              <w:t xml:space="preserve"> (</w:t>
            </w:r>
            <w:proofErr w:type="spellStart"/>
            <w:r w:rsidRPr="00253079">
              <w:rPr>
                <w:rFonts w:ascii="Times New Roman" w:eastAsia="Times New Roman" w:hAnsi="Times New Roman" w:cs="Times New Roman"/>
              </w:rPr>
              <w:t>aq</w:t>
            </w:r>
            <w:proofErr w:type="spellEnd"/>
            <w:r w:rsidRPr="00253079">
              <w:rPr>
                <w:rFonts w:ascii="Times New Roman" w:eastAsia="Times New Roman" w:hAnsi="Times New Roman" w:cs="Times New Roman"/>
              </w:rPr>
              <w:t>) + HCO</w:t>
            </w:r>
            <w:r w:rsidRPr="00253079">
              <w:rPr>
                <w:rFonts w:ascii="Times New Roman" w:eastAsia="Times New Roman" w:hAnsi="Times New Roman" w:cs="Times New Roman"/>
                <w:vertAlign w:val="subscript"/>
              </w:rPr>
              <w:t>3</w:t>
            </w:r>
            <w:r w:rsidRPr="00253079">
              <w:rPr>
                <w:rFonts w:ascii="Times New Roman" w:eastAsia="Times New Roman" w:hAnsi="Times New Roman" w:cs="Times New Roman"/>
                <w:vertAlign w:val="superscript"/>
              </w:rPr>
              <w:t>−</w:t>
            </w:r>
            <w:r w:rsidRPr="00253079">
              <w:rPr>
                <w:rFonts w:ascii="Times New Roman" w:eastAsia="Times New Roman" w:hAnsi="Times New Roman" w:cs="Times New Roman"/>
              </w:rPr>
              <w:t xml:space="preserve"> (</w:t>
            </w:r>
            <w:proofErr w:type="spellStart"/>
            <w:r w:rsidRPr="00253079">
              <w:rPr>
                <w:rFonts w:ascii="Times New Roman" w:eastAsia="Times New Roman" w:hAnsi="Times New Roman" w:cs="Times New Roman"/>
              </w:rPr>
              <w:t>aq</w:t>
            </w:r>
            <w:proofErr w:type="spellEnd"/>
            <w:r w:rsidRPr="00253079">
              <w:rPr>
                <w:rFonts w:ascii="Times New Roman" w:eastAsia="Times New Roman" w:hAnsi="Times New Roman" w:cs="Times New Roman"/>
              </w:rPr>
              <w:t>) → CaCO</w:t>
            </w:r>
            <w:r w:rsidRPr="00253079">
              <w:rPr>
                <w:rFonts w:ascii="Times New Roman" w:eastAsia="Times New Roman" w:hAnsi="Times New Roman" w:cs="Times New Roman"/>
                <w:vertAlign w:val="subscript"/>
              </w:rPr>
              <w:t>3</w:t>
            </w:r>
            <w:r w:rsidRPr="00253079">
              <w:rPr>
                <w:rFonts w:ascii="Times New Roman" w:eastAsia="Times New Roman" w:hAnsi="Times New Roman" w:cs="Times New Roman"/>
              </w:rPr>
              <w:t xml:space="preserve"> (s) + H</w:t>
            </w:r>
            <w:r w:rsidRPr="00253079">
              <w:rPr>
                <w:rFonts w:ascii="Times New Roman" w:eastAsia="Times New Roman" w:hAnsi="Times New Roman" w:cs="Times New Roman"/>
                <w:vertAlign w:val="superscript"/>
              </w:rPr>
              <w:t>+</w:t>
            </w:r>
            <w:r w:rsidRPr="00253079">
              <w:rPr>
                <w:rFonts w:ascii="Times New Roman" w:eastAsia="Times New Roman" w:hAnsi="Times New Roman" w:cs="Times New Roman"/>
              </w:rPr>
              <w:t xml:space="preserve"> (</w:t>
            </w:r>
            <w:proofErr w:type="spellStart"/>
            <w:r w:rsidRPr="00253079">
              <w:rPr>
                <w:rFonts w:ascii="Times New Roman" w:eastAsia="Times New Roman" w:hAnsi="Times New Roman" w:cs="Times New Roman"/>
              </w:rPr>
              <w:t>aq</w:t>
            </w:r>
            <w:proofErr w:type="spellEnd"/>
            <w:r w:rsidRPr="00253079">
              <w:rPr>
                <w:rFonts w:ascii="Times New Roman" w:eastAsia="Times New Roman" w:hAnsi="Times New Roman" w:cs="Times New Roman"/>
              </w:rPr>
              <w:t>)</w:t>
            </w:r>
          </w:p>
        </w:tc>
        <w:tc>
          <w:tcPr>
            <w:tcW w:w="491" w:type="dxa"/>
          </w:tcPr>
          <w:p w14:paraId="159279D7" w14:textId="3D036029" w:rsidR="00206D04" w:rsidRDefault="00206D04" w:rsidP="00206D04">
            <w:pPr>
              <w:pStyle w:val="BodyText"/>
              <w:spacing w:line="360" w:lineRule="auto"/>
              <w:jc w:val="both"/>
              <w:rPr>
                <w:rFonts w:ascii="Times New Roman" w:eastAsia="Times New Roman" w:hAnsi="Times New Roman" w:cs="Times New Roman"/>
              </w:rPr>
            </w:pPr>
            <w:r>
              <w:rPr>
                <w:rFonts w:ascii="Times New Roman" w:eastAsia="Times New Roman" w:hAnsi="Times New Roman" w:cs="Times New Roman"/>
              </w:rPr>
              <w:t>(</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seq eq </w:instrText>
            </w:r>
            <w:r>
              <w:rPr>
                <w:rFonts w:ascii="Times New Roman" w:eastAsia="Times New Roman" w:hAnsi="Times New Roman" w:cs="Times New Roman"/>
              </w:rPr>
              <w:fldChar w:fldCharType="separate"/>
            </w:r>
            <w:r w:rsidR="00A27D86">
              <w:rPr>
                <w:rFonts w:ascii="Times New Roman" w:eastAsia="Times New Roman" w:hAnsi="Times New Roman" w:cs="Times New Roman"/>
                <w:noProof/>
              </w:rPr>
              <w:t>3</w:t>
            </w:r>
            <w:r>
              <w:rPr>
                <w:rFonts w:ascii="Times New Roman" w:eastAsia="Times New Roman" w:hAnsi="Times New Roman" w:cs="Times New Roman"/>
              </w:rPr>
              <w:fldChar w:fldCharType="end"/>
            </w:r>
            <w:r>
              <w:rPr>
                <w:rFonts w:ascii="Times New Roman" w:eastAsia="Times New Roman" w:hAnsi="Times New Roman" w:cs="Times New Roman"/>
              </w:rPr>
              <w:t>)</w:t>
            </w:r>
          </w:p>
        </w:tc>
      </w:tr>
      <w:tr w:rsidR="00206D04" w14:paraId="086DECAE" w14:textId="77777777" w:rsidTr="0086092E">
        <w:trPr>
          <w:trHeight w:val="527"/>
          <w:jc w:val="center"/>
        </w:trPr>
        <w:tc>
          <w:tcPr>
            <w:tcW w:w="8905" w:type="dxa"/>
          </w:tcPr>
          <w:p w14:paraId="7A0B6A86" w14:textId="77777777" w:rsidR="00206D04" w:rsidRPr="00AF4431" w:rsidRDefault="00206D04" w:rsidP="0086092E">
            <w:pPr>
              <w:jc w:val="both"/>
              <w:rPr>
                <w:rFonts w:ascii="Times New Roman" w:eastAsia="Times New Roman" w:hAnsi="Times New Roman" w:cs="Times New Roman"/>
              </w:rPr>
            </w:pPr>
            <w:r>
              <w:rPr>
                <w:rFonts w:ascii="Times New Roman" w:eastAsia="Times New Roman" w:hAnsi="Times New Roman" w:cs="Times New Roman"/>
              </w:rPr>
              <w:t>The overall carbonation process can therefore be expressed by the following net reaction:</w:t>
            </w:r>
          </w:p>
          <w:p w14:paraId="65764963" w14:textId="299AAB67" w:rsidR="00206D04" w:rsidRDefault="00206D04" w:rsidP="0086092E">
            <w:pPr>
              <w:jc w:val="both"/>
              <w:rPr>
                <w:rFonts w:ascii="Times New Roman" w:eastAsia="Times New Roman" w:hAnsi="Times New Roman" w:cs="Times New Roman"/>
              </w:rPr>
            </w:pPr>
            <w:r w:rsidRPr="00AF4431">
              <w:rPr>
                <w:rFonts w:ascii="Times New Roman" w:eastAsia="Times New Roman" w:hAnsi="Times New Roman" w:cs="Times New Roman"/>
              </w:rPr>
              <w:t>CaSiO</w:t>
            </w:r>
            <w:r w:rsidRPr="001A34E0">
              <w:rPr>
                <w:rFonts w:ascii="Times New Roman" w:eastAsia="Times New Roman" w:hAnsi="Times New Roman" w:cs="Times New Roman"/>
                <w:vertAlign w:val="subscript"/>
              </w:rPr>
              <w:t>3</w:t>
            </w:r>
            <w:r>
              <w:rPr>
                <w:rFonts w:ascii="Times New Roman" w:eastAsia="Times New Roman" w:hAnsi="Times New Roman" w:cs="Times New Roman"/>
                <w:vertAlign w:val="subscript"/>
              </w:rPr>
              <w:t xml:space="preserve"> </w:t>
            </w:r>
            <w:r w:rsidRPr="00AF4431">
              <w:rPr>
                <w:rFonts w:ascii="Times New Roman" w:eastAsia="Times New Roman" w:hAnsi="Times New Roman" w:cs="Times New Roman"/>
              </w:rPr>
              <w:t>(s)</w:t>
            </w:r>
            <w:r>
              <w:rPr>
                <w:rFonts w:ascii="Times New Roman" w:eastAsia="Times New Roman" w:hAnsi="Times New Roman" w:cs="Times New Roman"/>
              </w:rPr>
              <w:t xml:space="preserve"> </w:t>
            </w:r>
            <w:r w:rsidRPr="00AF4431">
              <w:rPr>
                <w:rFonts w:ascii="Times New Roman" w:eastAsia="Times New Roman" w:hAnsi="Times New Roman" w:cs="Times New Roman"/>
              </w:rPr>
              <w:t>+</w:t>
            </w:r>
            <w:r>
              <w:rPr>
                <w:rFonts w:ascii="Times New Roman" w:eastAsia="Times New Roman" w:hAnsi="Times New Roman" w:cs="Times New Roman"/>
              </w:rPr>
              <w:t xml:space="preserve"> </w:t>
            </w:r>
            <w:r w:rsidRPr="00AF4431">
              <w:rPr>
                <w:rFonts w:ascii="Times New Roman" w:eastAsia="Times New Roman" w:hAnsi="Times New Roman" w:cs="Times New Roman"/>
              </w:rPr>
              <w:t>CO</w:t>
            </w:r>
            <w:r w:rsidRPr="001A34E0">
              <w:rPr>
                <w:rFonts w:ascii="Times New Roman" w:eastAsia="Times New Roman" w:hAnsi="Times New Roman" w:cs="Times New Roman"/>
                <w:vertAlign w:val="subscript"/>
              </w:rPr>
              <w:t>2</w:t>
            </w:r>
            <w:r>
              <w:rPr>
                <w:rFonts w:ascii="Times New Roman" w:eastAsia="Times New Roman" w:hAnsi="Times New Roman" w:cs="Times New Roman"/>
                <w:vertAlign w:val="subscript"/>
              </w:rPr>
              <w:t xml:space="preserve"> </w:t>
            </w:r>
            <w:r w:rsidRPr="00AF4431">
              <w:rPr>
                <w:rFonts w:ascii="Times New Roman" w:eastAsia="Times New Roman" w:hAnsi="Times New Roman" w:cs="Times New Roman"/>
              </w:rPr>
              <w:t>(g)</w:t>
            </w:r>
            <w:r>
              <w:rPr>
                <w:rFonts w:ascii="Times New Roman" w:eastAsia="Times New Roman" w:hAnsi="Times New Roman" w:cs="Times New Roman"/>
              </w:rPr>
              <w:t xml:space="preserve"> </w:t>
            </w:r>
            <w:r w:rsidRPr="00AF4431">
              <w:rPr>
                <w:rFonts w:ascii="Times New Roman" w:eastAsia="Times New Roman" w:hAnsi="Times New Roman" w:cs="Times New Roman"/>
              </w:rPr>
              <w:t>+</w:t>
            </w:r>
            <w:r>
              <w:rPr>
                <w:rFonts w:ascii="Times New Roman" w:eastAsia="Times New Roman" w:hAnsi="Times New Roman" w:cs="Times New Roman"/>
              </w:rPr>
              <w:t xml:space="preserve"> </w:t>
            </w:r>
            <w:r w:rsidRPr="00AF4431">
              <w:rPr>
                <w:rFonts w:ascii="Times New Roman" w:eastAsia="Times New Roman" w:hAnsi="Times New Roman" w:cs="Times New Roman"/>
              </w:rPr>
              <w:t>H</w:t>
            </w:r>
            <w:r w:rsidRPr="001A34E0">
              <w:rPr>
                <w:rFonts w:ascii="Times New Roman" w:eastAsia="Times New Roman" w:hAnsi="Times New Roman" w:cs="Times New Roman"/>
                <w:vertAlign w:val="subscript"/>
              </w:rPr>
              <w:t>2</w:t>
            </w:r>
            <w:r w:rsidRPr="00AF4431">
              <w:rPr>
                <w:rFonts w:ascii="Times New Roman" w:eastAsia="Times New Roman" w:hAnsi="Times New Roman" w:cs="Times New Roman"/>
              </w:rPr>
              <w:t>O</w:t>
            </w:r>
            <w:r>
              <w:rPr>
                <w:rFonts w:ascii="Times New Roman" w:eastAsia="Times New Roman" w:hAnsi="Times New Roman" w:cs="Times New Roman"/>
              </w:rPr>
              <w:t xml:space="preserve"> </w:t>
            </w:r>
            <w:r w:rsidRPr="00AF4431">
              <w:rPr>
                <w:rFonts w:ascii="Times New Roman" w:eastAsia="Times New Roman" w:hAnsi="Times New Roman" w:cs="Times New Roman"/>
              </w:rPr>
              <w:t>(l)</w:t>
            </w:r>
            <w:r>
              <w:rPr>
                <w:rFonts w:ascii="Times New Roman" w:eastAsia="Times New Roman" w:hAnsi="Times New Roman" w:cs="Times New Roman"/>
              </w:rPr>
              <w:t xml:space="preserve"> </w:t>
            </w:r>
            <w:r w:rsidRPr="00AF4431">
              <w:rPr>
                <w:rFonts w:ascii="Times New Roman" w:eastAsia="Times New Roman" w:hAnsi="Times New Roman" w:cs="Times New Roman"/>
              </w:rPr>
              <w:t>→</w:t>
            </w:r>
            <w:r>
              <w:rPr>
                <w:rFonts w:ascii="Times New Roman" w:eastAsia="Times New Roman" w:hAnsi="Times New Roman" w:cs="Times New Roman"/>
              </w:rPr>
              <w:t xml:space="preserve"> </w:t>
            </w:r>
            <w:r w:rsidRPr="00AF4431">
              <w:rPr>
                <w:rFonts w:ascii="Times New Roman" w:eastAsia="Times New Roman" w:hAnsi="Times New Roman" w:cs="Times New Roman"/>
              </w:rPr>
              <w:t>CaCO</w:t>
            </w:r>
            <w:r w:rsidRPr="001A34E0">
              <w:rPr>
                <w:rFonts w:ascii="Times New Roman" w:eastAsia="Times New Roman" w:hAnsi="Times New Roman" w:cs="Times New Roman"/>
                <w:vertAlign w:val="subscript"/>
              </w:rPr>
              <w:t>3</w:t>
            </w:r>
            <w:r>
              <w:rPr>
                <w:rFonts w:ascii="Times New Roman" w:eastAsia="Times New Roman" w:hAnsi="Times New Roman" w:cs="Times New Roman"/>
                <w:vertAlign w:val="subscript"/>
              </w:rPr>
              <w:t xml:space="preserve"> </w:t>
            </w:r>
            <w:r w:rsidRPr="00AF4431">
              <w:rPr>
                <w:rFonts w:ascii="Times New Roman" w:eastAsia="Times New Roman" w:hAnsi="Times New Roman" w:cs="Times New Roman"/>
              </w:rPr>
              <w:t>(s)</w:t>
            </w:r>
            <w:r>
              <w:rPr>
                <w:rFonts w:ascii="Times New Roman" w:eastAsia="Times New Roman" w:hAnsi="Times New Roman" w:cs="Times New Roman"/>
              </w:rPr>
              <w:t xml:space="preserve"> </w:t>
            </w:r>
            <w:r w:rsidRPr="00AF4431">
              <w:rPr>
                <w:rFonts w:ascii="Times New Roman" w:eastAsia="Times New Roman" w:hAnsi="Times New Roman" w:cs="Times New Roman"/>
              </w:rPr>
              <w:t>+</w:t>
            </w:r>
            <w:r>
              <w:rPr>
                <w:rFonts w:ascii="Times New Roman" w:eastAsia="Times New Roman" w:hAnsi="Times New Roman" w:cs="Times New Roman"/>
              </w:rPr>
              <w:t xml:space="preserve"> </w:t>
            </w:r>
            <w:r w:rsidRPr="00AF4431">
              <w:rPr>
                <w:rFonts w:ascii="Times New Roman" w:eastAsia="Times New Roman" w:hAnsi="Times New Roman" w:cs="Times New Roman"/>
              </w:rPr>
              <w:t>SiO</w:t>
            </w:r>
            <w:r w:rsidRPr="001A34E0">
              <w:rPr>
                <w:rFonts w:ascii="Times New Roman" w:eastAsia="Times New Roman" w:hAnsi="Times New Roman" w:cs="Times New Roman"/>
                <w:vertAlign w:val="subscript"/>
              </w:rPr>
              <w:t>2</w:t>
            </w:r>
            <w:r w:rsidRPr="00AF4431">
              <w:rPr>
                <w:rFonts w:ascii="Cambria Math" w:eastAsia="Times New Roman" w:hAnsi="Cambria Math" w:cs="Cambria Math"/>
              </w:rPr>
              <w:t>⋅</w:t>
            </w:r>
            <w:r w:rsidRPr="00AF4431">
              <w:rPr>
                <w:rFonts w:ascii="Times New Roman" w:eastAsia="Times New Roman" w:hAnsi="Times New Roman" w:cs="Times New Roman"/>
              </w:rPr>
              <w:t>nH</w:t>
            </w:r>
            <w:r w:rsidRPr="001A34E0">
              <w:rPr>
                <w:rFonts w:ascii="Times New Roman" w:eastAsia="Times New Roman" w:hAnsi="Times New Roman" w:cs="Times New Roman"/>
                <w:vertAlign w:val="subscript"/>
              </w:rPr>
              <w:t>2</w:t>
            </w:r>
            <w:r w:rsidRPr="00AF4431">
              <w:rPr>
                <w:rFonts w:ascii="Times New Roman" w:eastAsia="Times New Roman" w:hAnsi="Times New Roman" w:cs="Times New Roman"/>
              </w:rPr>
              <w:t>O</w:t>
            </w:r>
            <w:r>
              <w:rPr>
                <w:rFonts w:ascii="Times New Roman" w:eastAsia="Times New Roman" w:hAnsi="Times New Roman" w:cs="Times New Roman"/>
              </w:rPr>
              <w:t xml:space="preserve"> </w:t>
            </w:r>
            <w:r w:rsidRPr="00AF4431">
              <w:rPr>
                <w:rFonts w:ascii="Times New Roman" w:eastAsia="Times New Roman" w:hAnsi="Times New Roman" w:cs="Times New Roman"/>
              </w:rPr>
              <w:t>(s)</w:t>
            </w:r>
          </w:p>
        </w:tc>
        <w:tc>
          <w:tcPr>
            <w:tcW w:w="491" w:type="dxa"/>
          </w:tcPr>
          <w:p w14:paraId="05EA4BE3" w14:textId="4A324DFC" w:rsidR="00206D04" w:rsidRDefault="00206D04" w:rsidP="00206D04">
            <w:pPr>
              <w:pStyle w:val="BodyText"/>
              <w:spacing w:line="360" w:lineRule="auto"/>
              <w:jc w:val="both"/>
              <w:rPr>
                <w:rFonts w:ascii="Times New Roman" w:eastAsia="Times New Roman" w:hAnsi="Times New Roman" w:cs="Times New Roman"/>
              </w:rPr>
            </w:pPr>
            <w:r>
              <w:rPr>
                <w:rFonts w:ascii="Times New Roman" w:eastAsia="Times New Roman" w:hAnsi="Times New Roman" w:cs="Times New Roman"/>
              </w:rPr>
              <w:t>(</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seq eq </w:instrText>
            </w:r>
            <w:r>
              <w:rPr>
                <w:rFonts w:ascii="Times New Roman" w:eastAsia="Times New Roman" w:hAnsi="Times New Roman" w:cs="Times New Roman"/>
              </w:rPr>
              <w:fldChar w:fldCharType="separate"/>
            </w:r>
            <w:r w:rsidR="00A27D86">
              <w:rPr>
                <w:rFonts w:ascii="Times New Roman" w:eastAsia="Times New Roman" w:hAnsi="Times New Roman" w:cs="Times New Roman"/>
                <w:noProof/>
              </w:rPr>
              <w:t>4</w:t>
            </w:r>
            <w:r>
              <w:rPr>
                <w:rFonts w:ascii="Times New Roman" w:eastAsia="Times New Roman" w:hAnsi="Times New Roman" w:cs="Times New Roman"/>
              </w:rPr>
              <w:fldChar w:fldCharType="end"/>
            </w:r>
            <w:r>
              <w:rPr>
                <w:rFonts w:ascii="Times New Roman" w:eastAsia="Times New Roman" w:hAnsi="Times New Roman" w:cs="Times New Roman"/>
              </w:rPr>
              <w:t>)</w:t>
            </w:r>
          </w:p>
        </w:tc>
      </w:tr>
    </w:tbl>
    <w:p w14:paraId="5952811B" w14:textId="77777777" w:rsidR="000D601E" w:rsidRDefault="000D601E" w:rsidP="000D601E">
      <w:pPr>
        <w:spacing w:line="360" w:lineRule="auto"/>
        <w:jc w:val="both"/>
        <w:rPr>
          <w:rFonts w:ascii="Times New Roman" w:eastAsia="Times New Roman" w:hAnsi="Times New Roman" w:cs="Times New Roman"/>
        </w:rPr>
      </w:pPr>
      <w:bookmarkStart w:id="2" w:name="_Hlk230029684"/>
    </w:p>
    <w:bookmarkEnd w:id="2"/>
    <w:p w14:paraId="73D02B18" w14:textId="2FED077E" w:rsidR="00AF4431" w:rsidRPr="00AF4431" w:rsidRDefault="00AF4431" w:rsidP="0097293A">
      <w:pPr>
        <w:pStyle w:val="BodyText"/>
        <w:spacing w:line="360" w:lineRule="auto"/>
        <w:jc w:val="both"/>
      </w:pPr>
      <w:r w:rsidRPr="00AF4431">
        <w:t>The net equation</w:t>
      </w:r>
      <w:r w:rsidR="00811456">
        <w:t xml:space="preserve"> (4)</w:t>
      </w:r>
      <w:r w:rsidRPr="00AF4431">
        <w:t xml:space="preserve"> summarizes the overall transformation of wollastonite into carbonate and silica-rich products. </w:t>
      </w:r>
      <w:r w:rsidR="0097293A" w:rsidRPr="0097293A">
        <w:t xml:space="preserve">In practice, the silica-rich phase may persist as an altered surface layer or gel-like product, while calcite can precipitate at the reacting surface or within the surrounding solution. Overall reaction kinetics are thus influenced not only by wollastonite </w:t>
      </w:r>
      <w:r w:rsidR="0097293A" w:rsidRPr="0097293A">
        <w:lastRenderedPageBreak/>
        <w:t>dissolution and carbonate precipitation, but also by passivating surface products that limit access to the reacting interface and contribute to diffusion-related constraints</w:t>
      </w:r>
      <w:r w:rsidR="00F733AC">
        <w:fldChar w:fldCharType="begin"/>
      </w:r>
      <w:r w:rsidR="006E728E">
        <w:instrText xml:space="preserve"> ADDIN ZOTERO_ITEM CSL_CITATION {"citationID":"sQERErri","properties":{"unsorted":false,"formattedCitation":"[17]","plainCitation":"[17]","noteIndex":0},"citationItems":[{"id":383,"uris":["http://zotero.org/users/local/CPEr2PVS/items/I5TYGLTR"],"itemData":{"id":383,"type":"article-journal","abstract":"Mineral carbonation using slurry-phase wollastonite (CaSiO3) composed of suspended micron-scale particles represents an effective strategy for permanent CO2 sequestration, yet the interactions among ionic strength, dissolution–precipitation kinetics, and surface passivation remain poorly constrained. This study presents a mechanistic thermodynamic–kinetic model integrating CO2 solubility, wollastonite dissolution, and silica and calcium carbonate precipitation in multi-ionic brines (NaCl, MgCl2, CaCl2, Na2SO4) relevant to deep saline aquifers. CO2 solubility decreases across all brines due to salting-out, most strongly in Mg2+ - and SO42--rich systems, while wollastonite buffering enhances uptake with solubility ratio coefficients up to 1.95. Dissolution rates peak near pH 3–4 but drop by more than 30 % in Mg2+ -rich solutions because of competitive adsorption of Mg2+ with Ca2+ at wollastonite surface sites, which suppresses Ca2+ release. In sulfate-rich brines, SO42- primarily regulates Ca2+ activity through sulfate complexation and potential gypsum buffering, thereby delaying the onset of CaCO3 supersaturation and precipitation. Silica precipitation evolves from reaction-controlled polymerization to diffusion-limited growth as passivating layers develop. CaCO3 precipitation is triggered only at high supersaturation, limited by CO32- transport and diffusional barriers at elevated pH. Ion flux declines by over 95 % once silica layers approach ∼500 nm, corresponding to a sharp reduction in effective diffusivity and permeability due to pore-space occlusion by secondary mineral phases. Interactions between silica layers and co-precipitating minerals, such as carbonates, modulate layer porosity and diffusivity, suggesting that insights from shale reservoirs can refine predictions of passivation and reaction–diffusion transitions in engineered brine systems. The model predicts a progressive decrease in porosity and transport capacity as silica and CaCO3 layers thicken, providing a quantitative mechanistic link between mineral reprecipitation, evolving transport properties, and the observed transition from reaction-controlled to diffusion-limited carbonation.","container-title":"Chemical Engineering Research and Design","DOI":"10.1016/j.cherd.2026.01.040","ISSN":"0263-8762","journalAbbreviation":"Chemical Engineering Research and Design","page":"54-76","source":"ScienceDirect","title":"Modeling kinetics of wollastonite dissolution and carbonate precipitation in multi-ionic brine systems","volume":"227","author":[{"family":"Sandhu","given":"Harwin"},{"family":"Garg","given":"Sangeeta"},{"family":"Yadav","given":"Shashikant"}],"issued":{"date-parts":[["2026",3,1]]}}}],"schema":"https://github.com/citation-style-language/schema/raw/master/csl-citation.json"} </w:instrText>
      </w:r>
      <w:r w:rsidR="00F733AC">
        <w:fldChar w:fldCharType="separate"/>
      </w:r>
      <w:r w:rsidR="006E728E" w:rsidRPr="006E728E">
        <w:t>[17]</w:t>
      </w:r>
      <w:r w:rsidR="00F733AC">
        <w:fldChar w:fldCharType="end"/>
      </w:r>
      <w:r w:rsidRPr="00AF4431">
        <w:t>.</w:t>
      </w:r>
    </w:p>
    <w:p w14:paraId="29DE0FD2" w14:textId="15D621D9" w:rsidR="008F0694" w:rsidRPr="008F0694" w:rsidRDefault="0097293A" w:rsidP="008F0694">
      <w:pPr>
        <w:pStyle w:val="BodyText"/>
        <w:spacing w:line="360" w:lineRule="auto"/>
        <w:jc w:val="both"/>
      </w:pPr>
      <w:r w:rsidRPr="0097293A">
        <w:t>Although wollastonite demonstrates significant potential for aqueous carbonation, its kinetic evolution under comparable conditions remains incompletely understood. High</w:t>
      </w:r>
      <w:r w:rsidR="00505425">
        <w:t xml:space="preserve"> </w:t>
      </w:r>
      <w:r w:rsidRPr="0097293A">
        <w:t>temperatures and pressure, reduced particle size, improved mixing, and additives are known to enhance carbonation performance</w:t>
      </w:r>
      <w:r>
        <w:t xml:space="preserve"> </w:t>
      </w:r>
      <w:r w:rsidR="00C00886" w:rsidRPr="00267C17">
        <w:fldChar w:fldCharType="begin"/>
      </w:r>
      <w:r w:rsidR="006E728E">
        <w:instrText xml:space="preserve"> ADDIN ZOTERO_ITEM CSL_CITATION {"citationID":"asE73aGx","properties":{"unsorted":false,"formattedCitation":"[3,18\\uc0\\u8211{}22]","plainCitation":"[3,18–22]","noteIndex":0},"citationItems":[{"id":245,"uris":["http://zotero.org/users/local/CPEr2PVS/items/8W8YBV9H"],"itemData":{"id":245,"type":"article-journal","abstract":"Wollastonite (CaSiO3) is the most researched and well-defined mineral in the field of CO2 mineralization, but it is also a sought-after process mineral and thus, not easily justified for large scale ex situ carbon sequestration, which requires an energy-intensive step of comminution to increase reactivity. Wollastonite-rich mine tailings are a side stream with an already fine particle size resulting from the extractive process, but their effective utilization is problematic due to legislation, logistics, a high number of impurities, and chemical inconsistency. In this study, the accelerated weathering (aqueous carbonation) of high-calcite (CaCO3) wollastonite tailings was studied under elevated temperatures and high partial pressures of CO2 to determine the carbon sequestration potential of those tailings compared to those of pure reference wollastonite originating from the same quarry. The main process variables were pressure (20–100 bar), temperature (40 ◦C–60 ◦C), and time (10 min–24 h). Despite consisting largely of non-reactive silicates and primary calcite, very fine tailings showed promise in closed-chamber batch-type aqueous carbonation, achieving a conversion extent of over 28% in one hour at 100 bar and 60 ◦C.","container-title":"Minerals","DOI":"10.3390/min14040415","ISSN":"2075-163X","issue":"4","journalAbbreviation":"Minerals","language":"en","page":"415","source":"DOI.org (Crossref)","title":"Accelerated Carbonation of High-Calcite Wollastonite Tailings","volume":"14","author":[{"family":"Ismailov","given":"Arnold"},{"family":"Merilaita","given":"Niina"},{"family":"Levänen","given":"Erkki"}],"issued":{"date-parts":[["2024",4,18]]}}},{"id":266,"uris":["http://zotero.org/users/local/CPEr2PVS/items/Q7AYWTVD"],"itemData":{"id":266,"type":"article-journal","abstract":"The reaction of wollastonite with CO2 accompanied by SO2 and NO2 in the presence of a chloride-rich brine (230 g/L NaCl, 15 g/L CaCl2, 5 g/L MgCl2) at temperatures relevant to injection conditions (333 K) in carbon capture and storage (CCS) were investigated within the joint BMWi (Federal Ministry for Economic Affairs and Energy) research project CLUSTER. The reaction which describes the formation of wollastonite during metamorphism is reversed and shows a strong temperature dependence. Wollastonite reacts in the presence of CO2 (    C ¯    ) in aqueous conditions to form calcium carbonate and amorphous silicon oxide. At 333 K and 2 MPa the carbonation reaction of wollastonite (     C ¯  C S    ) is fast (&lt;24 h). To determine the conversion rate of the reaction quantitatively different methods were used and compared: Powder X-ray diffraction (PXRD) with the Rietveld method and differential scanning calorimetry with thermogravimetry, coupled with a mass spectrometer (DSC-TG/MS) for quantitative phase analysis and for determination of the carbonation. The carbonation (CO2 accompanied by SO2 and NO2) of natural wollastonite at 333 K in presence of chloride-rich brine was rather fast (almost complete after 24 h reaction time).","container-title":"Applied Sciences","DOI":"10.3390/app9061259","ISSN":"2076-3417","issue":"6","journalAbbreviation":"Applied Sciences","language":"en","page":"1259","source":"DOI.org (Crossref)","title":"Carbonation of Natural Wollastonite at Non-Ambient Conditions Relevant for CCS—the Possible Use as Cementitious Material in Wellbores","volume":"9","author":[{"family":"Svensson","given":"Kristoff"},{"family":"Neumann","given":"Andreas"},{"family":"Feitosa Menezes","given":"Flora"},{"family":"Lempp","given":"Christof"},{"family":"Pöllmann","given":"Herbert"}],"issued":{"date-parts":[["2019",3,26]]}}},{"id":243,"uris":["http://zotero.org/users/local/CPEr2PVS/items/IS269VQ2"],"itemData":{"id":243,"type":"article-journal","abstract":"The research presented here investigates the reaction mechanism of wollastonite in situ mineral carbonation for carbon dioxide (CO2) sequestration. Because wollastonite contains high calcium (Ca) content, it was considered as a suitable feedstock in the mineral carbonation process. To evaluate the reaction mechanism of wollastonite for geological CO2 sequestration (GCS), a series of carbonation experiments were performed at a range of temperatures from 35 to 90 °C, pressures from 1500 to 4000 psi, and salinities from 0 to 90,000 mg/L NaCl. The kinetics batch modeling results were validated with carbonation experiments at the speciﬁc pressure and temperature of 1500 psi and 65 °C, respectively. The results showed that the dissolution of calcium increases with increment in pressure and salinity from 1500 to 4000 psi and 0 to 90000 mg/L NaCl, respectively. However, the calcium concentration decreases by 49%, as the reaction temperature increases from 35 to 90 °C. Besides, it is clear from the ﬁndings that the carbonation eﬃciency only shows a small diﬀerence (i.e., ±2%) for changing the pressure and salinity, whereas the carbonation eﬃciency was shown to be enhanced by 62% with increment in the reaction temperature. These ﬁndings can provide information about CO2 mineralization of calcium silicate at the GCS condition, which may enable us to predict the fate of the injected CO2, and its subsurface geochemical evolution during the CO2−ﬂuid−rock interaction.","container-title":"ACS Omega","DOI":"10.1021/acsomega.0c02358","ISSN":"2470-1343, 2470-1343","issue":"45","journalAbbreviation":"ACS Omega","language":"en","license":"http://pubs.acs.org/page/policy/authorchoice_ccbyncnd_termsofuse.html","page":"28942-28954","source":"DOI.org (Crossref)","title":"Reaction Mechanism of Wollastonite In Situ Mineral Carbonation for CO&lt;sub&gt;2&lt;/sub&gt; Sequestration: Effects of Saline Conditions, Temperature, and Pressure","title-short":"Reaction Mechanism of Wollastonite In Situ Mineral Carbonation for CO&lt;sub&gt;2&lt;/sub&gt; Sequestration","volume":"5","author":[{"family":"Kashim","given":"M. Zuhaili"},{"family":"Tsegab","given":"Haylay"},{"family":"Rahmani","given":"Omeid"},{"family":"Abu Bakar","given":"Zainol Affendi"},{"family":"Aminpour","given":"Shahram M."}],"issued":{"date-parts":[["2020",11,17]]}}},{"id":301,"uris":["http://zotero.org/users/local/CPEr2PVS/items/FP5Y389A"],"itemData":{"id":301,"type":"article-journal","abstract":"Abstract\n            \n              The feasibility of a carbon dioxide disposal method based on combining carbon dioxide chemically with silicate rocks was tested in this experiment. The process uses a stirred batch reactor, in which supercritical carbon dioxide is absorbed into a rock slurry to cause dissolution of the mineral and precipitation of calcium carbonate. Wollastonite (CaSiO\n              3\n              ) was chosen in a systematic study because it had the highest conversion among the rocks investigated in a preliminary test. The effects of operating variables—including reaction time, reaction pressure, the particle size of wollastonite, reaction temperature, and solution composition—on the conversion of wollastonite were investigated, and a reaction mechanism was proposed to explain these effects. The conversion was determined by means of thermogravimetric analysis. A high conversion of 90% was achieved by using a solution composed of 1 M NaHCO\n              3\n              to prepare the wollastonite slurry when the carbonation reaction was operated at 8.6 MPa and 383 K for 6 h. © 2005 American Institute of Chemical Engineers AIChE J, 2006","container-title":"AIChE Journal","DOI":"10.1002/aic.10572","ISSN":"0001-1541, 1547-5905","issue":"1","journalAbbreviation":"AIChE Journal","language":"en","license":"http://onlinelibrary.wiley.com/termsAndConditions#vor","page":"292-299","source":"DOI.org (Crossref)","title":"Factors affecting wollastonite carbonation under CO&lt;sub&gt;2&lt;/sub&gt; supercritical conditions","volume":"52","author":[{"family":"Tai","given":"Clifford Y."},{"family":"Chen","given":"W.‐R."},{"family":"Shih","given":"Shin‐Min"}],"issued":{"date-parts":[["2006",1]]}}},{"id":269,"uris":["http://zotero.org/users/local/CPEr2PVS/items/6M2DG4PM","http://zotero.org/users/local/CPEr2PVS/items/GZDRARQS"],"itemData":{"id":269,"type":"article-journal","container-title":"Environmental Science &amp; Technology","DOI":"10.1021/acs.est.7b04475","ISSN":"0013-936X, 1520-5851","issue":"21","journalAbbreviation":"Environ. Sci. Technol.","language":"en","page":"13044-13053","source":"DOI.org (Crossref)","title":"Wollastonite Carbonation in Water-Bearing Supercritical CO&lt;sub&gt;2&lt;/sub&gt; : Effects of Particle Size","title-short":"Wollastonite Carbonation in Water-Bearing Supercritical CO&lt;sub&gt;2&lt;/sub&gt;","volume":"51","author":[{"family":"Min","given":"Yujia"},{"family":"Li","given":"Qingyun"},{"family":"Voltolini","given":"Marco"},{"family":"Kneafsey","given":"Timothy"},{"family":"Jun","given":"Young-Shin"}],"issued":{"date-parts":[["2017",11,7]]}}},{"id":409,"uris":["http://zotero.org/users/local/CPEr2PVS/items/3UANIEYJ"],"itemData":{"id":409,"type":"article-journal","container-title":"Environmental Science &amp; Technology","DOI":"10.1021/acs.est.3c03942","ISSN":"0013-936X, 1520-5851","issue":"37","journalAbbreviation":"Environ. Sci. Technol.","language":"en","license":"https://doi.org/10.15223/policy-029","page":"13808-13817","source":"DOI.org (Crossref)","title":"Enhancing Aqueous Carbonation of Calcium Silicate through Acid and Base Pretreatments with Implications for Efficient Carbon Mineralization","volume":"57","author":[{"family":"Zhai","given":"Hang"},{"family":"Chen","given":"Qiyuan"},{"family":"Yilmaz","given":"Mehmet"},{"family":"Wang","given":"Bu"}],"issued":{"date-parts":[["2023",9,19]]}}}],"schema":"https://github.com/citation-style-language/schema/raw/master/csl-citation.json"} </w:instrText>
      </w:r>
      <w:r w:rsidR="00C00886" w:rsidRPr="00267C17">
        <w:fldChar w:fldCharType="separate"/>
      </w:r>
      <w:r w:rsidR="006E728E" w:rsidRPr="006E728E">
        <w:rPr>
          <w:rFonts w:cs="Times New Roman"/>
        </w:rPr>
        <w:t>[3,18–22]</w:t>
      </w:r>
      <w:r w:rsidR="00C00886" w:rsidRPr="00267C17">
        <w:fldChar w:fldCharType="end"/>
      </w:r>
      <w:r w:rsidR="00616887" w:rsidRPr="00267C17">
        <w:t xml:space="preserve">. </w:t>
      </w:r>
      <w:r w:rsidR="00C34A1B">
        <w:t>But</w:t>
      </w:r>
      <w:r w:rsidR="008F0694" w:rsidRPr="008F0694">
        <w:t xml:space="preserve"> it remains uncertain whether these factors solely increase the overall reaction rate or also alter the apparent rate-controlling mechanism. Particle size reduction typically enhances reactivity by increasing surface area and accessibility, yet its influence on the dominant kinetic regime is less systematically investigated than its effect on overall conversion. This underscores the need for systematic experimental kinetic datasets under well-defined conditions, which are currently limited despite the prevalence of modeling and simulation approaches.</w:t>
      </w:r>
    </w:p>
    <w:p w14:paraId="695C9821" w14:textId="6768D550" w:rsidR="008F0694" w:rsidRPr="008F0694" w:rsidRDefault="008F0694" w:rsidP="004125B6">
      <w:pPr>
        <w:pStyle w:val="BodyText"/>
        <w:spacing w:line="360" w:lineRule="auto"/>
        <w:jc w:val="both"/>
      </w:pPr>
      <w:r w:rsidRPr="008F0694">
        <w:t xml:space="preserve">Model-based kinetic analysis is particularly valuable for wet mineral carbonation systems. Here, the </w:t>
      </w:r>
      <w:proofErr w:type="spellStart"/>
      <w:r w:rsidRPr="008F0694">
        <w:t>Avrami</w:t>
      </w:r>
      <w:proofErr w:type="spellEnd"/>
      <w:r w:rsidRPr="008F0694">
        <w:t xml:space="preserve"> model was used to describe overall nucleation-and-growth transformation behavior, while SCM formulations distinguished between apparent surface-reaction and diffusion-controlled regimes</w:t>
      </w:r>
      <w:r w:rsidR="004125B6" w:rsidRPr="00267C17">
        <w:fldChar w:fldCharType="begin"/>
      </w:r>
      <w:r w:rsidR="004125B6">
        <w:instrText xml:space="preserve"> ADDIN ZOTERO_ITEM CSL_CITATION {"citationID":"LnM405DU","properties":{"formattedCitation":"[23\\uc0\\u8211{}25]","plainCitation":"[23–25]","noteIndex":0},"citationItems":[{"id":350,"uris":["http://zotero.org/users/local/CPEr2PVS/items/FMY3KNM3"],"itemData":{"id":350,"type":"book","abstract":"This textbook has emerged from the lectures on chemical kinetics given by the author for more than 15 years to chemistry students at Moscow State University as part of a general course in physical chemistry. Much space in the book is devoted to the fundamental concepts, and therefore it may serve as an elementary textbook. On the other hand, the book provides a more detailed treatment of some theoretical problems than is found in ordinary courses of physical chemistry. For instance, the section dealing with unimolecular reactions has been considerably augmented; an example is a detailed account of the Slater theory.\nFurthermore, the author has found it useful to supplement the treatment of the various aspects of the theory of the activated complex (transition-state theory) with concrete examples of the application of this theory to bimolecular reactions involving complexes of various configurations, the results of calculations being compared with the theory of activated collisions. This information should be helpful in applying the theory of kinetics in practical work. The exposition of the principles of transition-state theory is preceded by Chapter 5, which is devoted to the foundations of statistical thermodynamics. The experience of teaching physical chemistry at the Chemistry Department has shown that this chapter may be self-contained in a study of the fundamentals of thermodynamics.\nSeparate chapters are concerned with the kinetics of photochemical reactions and reactions taking place in electrical discharges. The inclusion of these topics may evidently be partly explained by the author’s personal tastes and the trend of his work in the corresponding fields of chemical kinetics.\nReactions in solutions and homogeneous catalysis in solutions are treated in Chapter 12. Here, much attention is paid to the theory of intermediates and, in particular, to the classical works of E. I. Shpitalsky, a Professor at Moscow University.\nThe author has deliberately avoided expounding heterogeneous catalysis, an area so wide that it would have increased the size of the book three times at least, among other things.\nThis book is intended both for beginning students of chemical kinetics and chemistry and chemical engineering for a more thorough study of the subject. It may also be useful for postgraduates and all those wishing to study chemical kinetics.\nIn preparing this second edition, I have incorporated the comments made by my colleagues. Also, all the misprints have been corrected, and I have included a new section devoted to methods of measuring reaction rates and reaction orders, as well as chapters on the kinetics of processes.\nIn conclusion, the author extends his gratitude to E. A. Rubtsov and B. Belov, who have been kind enough to offer their help in preparing this manuscript.\nTranslated from the Russian by Artavazd Beknazarov.","language":"eng","publisher":"Mir Publishers","source":"Internet Archive","title":"The Foundations Of Chemical Kinetics Mir","URL":"http://archive.org/details/e.-n.-yeremin-the-foundations-of-chemical-kinetics-mir-1979","author":[{"literal":"E. N. Yeremin"}],"accessed":{"date-parts":[["2026",1,19]]},"issued":{"date-parts":[["1979"]]}}},{"id":362,"uris":["http://zotero.org/users/local/CPEr2PVS/items/2MMGSWZZ"],"itemData":{"id":362,"type":"book","abstract":"Text for senior undergrads or first-year graduate students. Assumes previous exposure to phase equilibria, crystal structures, defects, and metallography. Covers the principles, diffusion and empirical rate equations, classification of phase transformations, atomic mechanisms, spinodal decomposition. Annotation copyrighted by Book News, Inc., Portland, OR","ISBN":"978-0-13-663055-5","language":"en","note":"Google-Books-ID: m5oQAQAAMAAJ","number-of-pages":"504","publisher":"Prentice Hall","source":"Google Books","title":"Phase Transformation in Materials","author":[{"family":"Jena","given":"A. K."},{"family":"Chaturvedi","given":"M. C."}],"issued":{"date-parts":[["1992"]]}}},{"id":264,"uris":["http://zotero.org/users/local/CPEr2PVS/items/TWL36LHJ"],"itemData":{"id":264,"type":"article-journal","container-title":"ISIJ International","DOI":"10.2355/isijinternational.ISIJINT-2015-142","ISSN":"0915-1559, 1347-5460","issue":"11","journalAbbreviation":"ISIJ International","language":"en","page":"2509-2514","source":"DOI.org (Crossref)","title":"Aqueous Carbonation of Steel Slag: A Kinetics Study","title-short":"Aqueous Carbonation of Steel Slag","volume":"55","author":[{"family":"Tu","given":"Maoxia"},{"family":"Zhao","given":"Hongxin"},{"family":"Lei","given":"Ze"},{"family":"Wang","given":"Lina"},{"family":"Chen","given":"Desheng"},{"family":"Yu","given":"Hongdong"},{"family":"Qi","given":"Tao"}],"issued":{"date-parts":[["2015"]]}}}],"schema":"https://github.com/citation-style-language/schema/raw/master/csl-citation.json"} </w:instrText>
      </w:r>
      <w:r w:rsidR="004125B6" w:rsidRPr="00267C17">
        <w:fldChar w:fldCharType="separate"/>
      </w:r>
      <w:r w:rsidR="004125B6" w:rsidRPr="006E728E">
        <w:rPr>
          <w:rFonts w:cs="Times New Roman"/>
        </w:rPr>
        <w:t>[23–25]</w:t>
      </w:r>
      <w:r w:rsidR="004125B6" w:rsidRPr="00267C17">
        <w:fldChar w:fldCharType="end"/>
      </w:r>
      <w:r w:rsidR="004125B6" w:rsidRPr="00267C17">
        <w:t xml:space="preserve">. </w:t>
      </w:r>
      <w:r w:rsidR="004125B6" w:rsidRPr="008F0694">
        <w:t>Arrhenius analysis of fitted kinetic parameters further assessed thermal sensitivity and estimated apparent activation barriers</w:t>
      </w:r>
      <w:r w:rsidR="004125B6">
        <w:fldChar w:fldCharType="begin"/>
      </w:r>
      <w:r w:rsidR="004125B6">
        <w:instrText xml:space="preserve"> ADDIN ZOTERO_ITEM CSL_CITATION {"citationID":"nvmHIABr","properties":{"unsorted":false,"formattedCitation":"[25\\uc0\\u8211{}27]","plainCitation":"[25–27]","noteIndex":0},"citationItems":[{"id":264,"uris":["http://zotero.org/users/local/CPEr2PVS/items/TWL36LHJ"],"itemData":{"id":264,"type":"article-journal","container-title":"ISIJ International","DOI":"10.2355/isijinternational.ISIJINT-2015-142","ISSN":"0915-1559, 1347-5460","issue":"11","journalAbbreviation":"ISIJ International","language":"en","page":"2509-2514","source":"DOI.org (Crossref)","title":"Aqueous Carbonation of Steel Slag: A Kinetics Study","title-short":"Aqueous Carbonation of Steel Slag","volume":"55","author":[{"family":"Tu","given":"Maoxia"},{"family":"Zhao","given":"Hongxin"},{"family":"Lei","given":"Ze"},{"family":"Wang","given":"Lina"},{"family":"Chen","given":"Desheng"},{"family":"Yu","given":"Hongdong"},{"family":"Qi","given":"Tao"}],"issued":{"date-parts":[["2015"]]}}},{"id":397,"uris":["http://zotero.org/users/local/CPEr2PVS/items/ZM7E5AU8"],"itemData":{"id":397,"type":"article-journal","abstract":"Article The Arrhenius Equation is Still a Useful Tool in Chemical Engineering was published on January 1, 2017 in the journal Nordic Pulp &amp; Paper Research Journal (volume 32, issue 1).","container-title":"Nordic Pulp &amp; Paper Research Journal","DOI":"10.3183/npprj-2017-32-01-p021-024","ISSN":"2000-0669","issue":"1","language":"en","license":"De Gruyter expressly reserves the right to use all content for commercial text and data mining within the meaning of Section 44b of the German Copyright Act.","page":"21-24","publisher":"De Gruyter","source":"www.degruyterbrill.com","title":"The Arrhenius Equation is Still a Useful Tool in Chemical Engineering","volume":"32","author":[{"family":"Germgård","given":"Ulf"}],"issued":{"date-parts":[["2017",1,1]]}}},{"id":399,"uris":["http://zotero.org/users/local/CPEr2PVS/items/34NENGSE"],"itemData":{"id":399,"type":"article-journal","abstract":"The objective of this review paper is to survey the phase transition kinetics with a focus on the temperature dependence of the rates of crystallization and melting, as well as on the activation energies of these processes obtained via the Arrhenius kinetic treatment, including the treatment by isoconversional methods. The literature is analyzed to track the development of the basic models and their underlying concepts. The review presents both theoretical and practical considerations regarding the kinetic analysis of crystallization and melting. Both processes are demonstrated to be kinetically complex, and this is revealed in the form of nonlinear Arrhenius plots and/or the variation of the activation energy with temperature. Principles which aid one to understand and interpret such results are discussed. An emphasis is also put on identifying proper computational methods and experimental data that can lead to meaningful kinetic interpretation.","container-title":"Polymers","DOI":"10.3390/polym12051070","ISSN":"2073-4360","issue":"5","journalAbbreviation":"Polymers","language":"en","page":"1070","source":"DOI.org (Crossref)","title":"Activation Energies and Temperature Dependencies of the Rates of Crystallization and Melting of Polymers","volume":"12","author":[{"family":"Vyazovkin","given":"Sergey"}],"issued":{"date-parts":[["2020",5,7]]}}}],"schema":"https://github.com/citation-style-language/schema/raw/master/csl-citation.json"} </w:instrText>
      </w:r>
      <w:r w:rsidR="004125B6">
        <w:fldChar w:fldCharType="separate"/>
      </w:r>
      <w:r w:rsidR="004125B6" w:rsidRPr="006E728E">
        <w:rPr>
          <w:rFonts w:cs="Times New Roman"/>
        </w:rPr>
        <w:t>[25–27]</w:t>
      </w:r>
      <w:r w:rsidR="004125B6">
        <w:fldChar w:fldCharType="end"/>
      </w:r>
      <w:r w:rsidR="004125B6" w:rsidRPr="00267C17">
        <w:t>.</w:t>
      </w:r>
      <w:r w:rsidRPr="008F0694">
        <w:t>However, kinetic modeling alone cannot fully capture the complexity of heterogeneous aqueous carbonation, and mechanistic interpretations require support from structural, thermal, and morphological characterization to determine how phase composition, carbonate crystallinity, thermal stability, and surface morphology evolve consistently with the proposed controlling mechanisms.</w:t>
      </w:r>
    </w:p>
    <w:p w14:paraId="20452805" w14:textId="77777777" w:rsidR="008F0694" w:rsidRPr="008F0694" w:rsidRDefault="008F0694" w:rsidP="008F0694">
      <w:pPr>
        <w:pStyle w:val="font-claude-response-body"/>
        <w:spacing w:line="360" w:lineRule="auto"/>
        <w:jc w:val="both"/>
        <w:rPr>
          <w:rFonts w:ascii="Cambria" w:eastAsia="Cambria" w:hAnsi="Cambria" w:cs="Arial"/>
        </w:rPr>
      </w:pPr>
      <w:r w:rsidRPr="008F0694">
        <w:rPr>
          <w:rFonts w:ascii="Cambria" w:eastAsia="Cambria" w:hAnsi="Cambria" w:cs="Arial"/>
        </w:rPr>
        <w:t>Accordingly, this work aims to clarify how temperature and particle size influence wet wollastonite carbonation kinetics, identify dominant apparent rate-controlling mechanisms, and develop a mechanistic framework linking kinetic behavior with phase evolution and surface development. By integrating time-resolved kinetic modeling with multi-technique characterization, this study provides a more complete understanding of wet wollastonite carbonation across different temperature regimes.</w:t>
      </w:r>
    </w:p>
    <w:p w14:paraId="2F005C71" w14:textId="76A87E31" w:rsidR="00010CF3" w:rsidRPr="00267C17" w:rsidRDefault="00010CF3" w:rsidP="000E38AD">
      <w:pPr>
        <w:pStyle w:val="Heading1"/>
        <w:spacing w:line="360" w:lineRule="auto"/>
        <w:jc w:val="both"/>
        <w:rPr>
          <w:color w:val="auto"/>
        </w:rPr>
      </w:pPr>
      <w:r w:rsidRPr="00267C17">
        <w:rPr>
          <w:color w:val="auto"/>
        </w:rPr>
        <w:lastRenderedPageBreak/>
        <w:t>Results and discussion</w:t>
      </w:r>
    </w:p>
    <w:p w14:paraId="01D74699" w14:textId="626D286D" w:rsidR="00445DAF" w:rsidRPr="00267C17" w:rsidRDefault="00010CF3" w:rsidP="000E38AD">
      <w:pPr>
        <w:pStyle w:val="Heading2"/>
        <w:spacing w:line="360" w:lineRule="auto"/>
        <w:jc w:val="both"/>
        <w:rPr>
          <w:color w:val="auto"/>
        </w:rPr>
      </w:pPr>
      <w:r w:rsidRPr="00267C17">
        <w:rPr>
          <w:color w:val="auto"/>
        </w:rPr>
        <w:t>Temperature</w:t>
      </w:r>
      <w:r w:rsidR="000F5716" w:rsidRPr="00267C17">
        <w:rPr>
          <w:color w:val="auto"/>
        </w:rPr>
        <w:t xml:space="preserve"> and time</w:t>
      </w:r>
      <w:r w:rsidRPr="00267C17">
        <w:rPr>
          <w:color w:val="auto"/>
        </w:rPr>
        <w:t>-dependent carbonation behavior</w:t>
      </w:r>
    </w:p>
    <w:p w14:paraId="24F1FC25" w14:textId="7E013C17" w:rsidR="00A27D86" w:rsidRDefault="00445DAF" w:rsidP="000C78A0">
      <w:pPr>
        <w:pStyle w:val="BodyText"/>
        <w:spacing w:line="360" w:lineRule="auto"/>
        <w:jc w:val="both"/>
      </w:pPr>
      <w:r w:rsidRPr="00267C17">
        <w:t>Time-dependent conversion</w:t>
      </w:r>
      <w:r w:rsidR="006C5D51">
        <w:t xml:space="preserve"> </w:t>
      </w:r>
      <w:r w:rsidRPr="00267C17">
        <w:t>profiles</w:t>
      </w:r>
      <w:r w:rsidR="006C5D51">
        <w:t xml:space="preserve"> (</w:t>
      </w:r>
      <w:r w:rsidR="006C5D51" w:rsidRPr="006C5D51">
        <w:rPr>
          <w:i/>
          <w:iCs/>
        </w:rPr>
        <w:t>X</w:t>
      </w:r>
      <w:r w:rsidR="006C5D51">
        <w:t>)</w:t>
      </w:r>
      <w:r w:rsidR="00C6763E" w:rsidRPr="00267C17">
        <w:t xml:space="preserve"> (</w:t>
      </w:r>
      <w:r w:rsidR="001E67E4">
        <w:fldChar w:fldCharType="begin"/>
      </w:r>
      <w:r w:rsidR="001E67E4">
        <w:instrText xml:space="preserve"> REF _Ref230941347 \h </w:instrText>
      </w:r>
      <w:r w:rsidR="001E67E4">
        <w:fldChar w:fldCharType="separate"/>
      </w:r>
      <w:r w:rsidR="00A27D86">
        <w:t xml:space="preserve">Figure </w:t>
      </w:r>
      <w:r w:rsidR="00A27D86">
        <w:rPr>
          <w:noProof/>
        </w:rPr>
        <w:t>1</w:t>
      </w:r>
      <w:r w:rsidR="001E67E4">
        <w:fldChar w:fldCharType="end"/>
      </w:r>
      <w:r w:rsidR="001E67E4">
        <w:t> - a</w:t>
      </w:r>
      <w:r w:rsidR="003071C5">
        <w:t>)</w:t>
      </w:r>
      <w:r w:rsidR="003071C5" w:rsidRPr="003071C5">
        <w:rPr>
          <w:rFonts w:ascii="Times New Roman" w:eastAsia="Times New Roman" w:hAnsi="Times New Roman" w:cs="Times New Roman"/>
        </w:rPr>
        <w:t xml:space="preserve"> </w:t>
      </w:r>
      <w:r w:rsidR="003071C5" w:rsidRPr="003071C5">
        <w:t xml:space="preserve">indicate that temperature exerts a significant influence on the wet carbonation behavior of wollastonite. </w:t>
      </w:r>
    </w:p>
    <w:p w14:paraId="7262F0E7" w14:textId="414E4BA1" w:rsidR="00A27D86" w:rsidRDefault="00A27D86" w:rsidP="00A27D86">
      <w:pPr>
        <w:pStyle w:val="BodyText"/>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The </w:t>
      </w:r>
      <w:r w:rsidRPr="00267C17">
        <w:rPr>
          <w:rFonts w:ascii="Times New Roman" w:eastAsia="Times New Roman" w:hAnsi="Times New Roman" w:cs="Times New Roman"/>
        </w:rPr>
        <w:t xml:space="preserve">extent of conversion </w:t>
      </w:r>
      <w:r w:rsidRPr="00FC7690">
        <w:rPr>
          <w:rFonts w:ascii="Times New Roman" w:eastAsia="Times New Roman" w:hAnsi="Times New Roman" w:cs="Times New Roman"/>
          <w:i/>
        </w:rPr>
        <w:t>X</w:t>
      </w:r>
      <w:r w:rsidRPr="00267C17">
        <w:rPr>
          <w:rFonts w:ascii="Times New Roman" w:eastAsia="Times New Roman" w:hAnsi="Times New Roman" w:cs="Times New Roman"/>
        </w:rPr>
        <w:t xml:space="preserve"> was obtained by normalizing the experimental CO₂ uptake to the theoretical CO₂ uptake: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0"/>
        <w:gridCol w:w="576"/>
      </w:tblGrid>
      <w:tr w:rsidR="00A27D86" w14:paraId="2BB36F04" w14:textId="77777777" w:rsidTr="008B2594">
        <w:tc>
          <w:tcPr>
            <w:tcW w:w="8820" w:type="dxa"/>
          </w:tcPr>
          <w:p w14:paraId="58C0D4FA" w14:textId="77777777" w:rsidR="00A27D86" w:rsidRDefault="00A27D86" w:rsidP="008B2594">
            <w:pPr>
              <w:pStyle w:val="BodyText"/>
              <w:spacing w:line="360" w:lineRule="auto"/>
              <w:jc w:val="both"/>
              <w:rPr>
                <w:rFonts w:ascii="Times New Roman" w:eastAsia="Times New Roman" w:hAnsi="Times New Roman" w:cs="Times New Roman"/>
              </w:rPr>
            </w:pPr>
            <m:oMath>
              <m:r>
                <w:rPr>
                  <w:rFonts w:ascii="Cambria Math" w:hAnsi="Cambria Math"/>
                </w:rPr>
                <m:t>X=</m:t>
              </m:r>
              <m:f>
                <m:fPr>
                  <m:ctrlPr>
                    <w:rPr>
                      <w:rFonts w:ascii="Cambria Math" w:hAnsi="Cambria Math"/>
                      <w:i/>
                    </w:rPr>
                  </m:ctrlPr>
                </m:fPr>
                <m:num>
                  <m:r>
                    <w:rPr>
                      <w:rFonts w:ascii="Cambria Math" w:hAnsi="Cambria Math"/>
                    </w:rPr>
                    <m:t>CO₂ uptake</m:t>
                  </m:r>
                </m:num>
                <m:den>
                  <m:r>
                    <w:rPr>
                      <w:rFonts w:ascii="Cambria Math" w:hAnsi="Cambria Math"/>
                    </w:rPr>
                    <m:t>maximum theoretical CO₂ uptake</m:t>
                  </m:r>
                </m:den>
              </m:f>
            </m:oMath>
            <w:r w:rsidRPr="00267C17">
              <w:rPr>
                <w:rFonts w:ascii="Times New Roman" w:eastAsia="Times New Roman" w:hAnsi="Times New Roman" w:cs="Times New Roman"/>
              </w:rPr>
              <w:t xml:space="preserve">   </w:t>
            </w:r>
          </w:p>
        </w:tc>
        <w:tc>
          <w:tcPr>
            <w:tcW w:w="576" w:type="dxa"/>
          </w:tcPr>
          <w:p w14:paraId="78B75136" w14:textId="51593EC1" w:rsidR="00A27D86" w:rsidRDefault="00A27D86" w:rsidP="008B2594">
            <w:pPr>
              <w:pStyle w:val="BodyText"/>
              <w:spacing w:line="360" w:lineRule="auto"/>
              <w:jc w:val="both"/>
              <w:rPr>
                <w:rFonts w:ascii="Times New Roman" w:eastAsia="Times New Roman" w:hAnsi="Times New Roman" w:cs="Times New Roman"/>
              </w:rPr>
            </w:pPr>
            <w:bookmarkStart w:id="3" w:name="Conversion"/>
            <w:r>
              <w:rPr>
                <w:rFonts w:ascii="Times New Roman" w:eastAsia="Times New Roman" w:hAnsi="Times New Roman" w:cs="Times New Roman"/>
              </w:rPr>
              <w:t>(</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seq eq </w:instrText>
            </w:r>
            <w:r>
              <w:rPr>
                <w:rFonts w:ascii="Times New Roman" w:eastAsia="Times New Roman" w:hAnsi="Times New Roman" w:cs="Times New Roman"/>
              </w:rPr>
              <w:fldChar w:fldCharType="separate"/>
            </w:r>
            <w:r>
              <w:rPr>
                <w:rFonts w:ascii="Times New Roman" w:eastAsia="Times New Roman" w:hAnsi="Times New Roman" w:cs="Times New Roman"/>
                <w:noProof/>
              </w:rPr>
              <w:t>5</w:t>
            </w:r>
            <w:r>
              <w:rPr>
                <w:rFonts w:ascii="Times New Roman" w:eastAsia="Times New Roman" w:hAnsi="Times New Roman" w:cs="Times New Roman"/>
              </w:rPr>
              <w:fldChar w:fldCharType="end"/>
            </w:r>
            <w:r>
              <w:rPr>
                <w:rFonts w:ascii="Times New Roman" w:eastAsia="Times New Roman" w:hAnsi="Times New Roman" w:cs="Times New Roman"/>
              </w:rPr>
              <w:t>)</w:t>
            </w:r>
            <w:bookmarkEnd w:id="3"/>
          </w:p>
        </w:tc>
      </w:tr>
    </w:tbl>
    <w:p w14:paraId="49F621C8" w14:textId="007F0BBD" w:rsidR="003071C5" w:rsidRDefault="003071C5" w:rsidP="000C78A0">
      <w:pPr>
        <w:pStyle w:val="BodyText"/>
        <w:spacing w:line="360" w:lineRule="auto"/>
        <w:jc w:val="both"/>
      </w:pPr>
      <w:r w:rsidRPr="003071C5">
        <w:t xml:space="preserve">Increasing temperature enhances both the reaction rate and the final conversion within the investigated reaction period. After 180 minutes, conversion increased from 0.134 at 25°C to 0.333, 0.454, 0.574, and 0.619 at 45°C, 60°C, 75°C, and 90°C, respectively. This trend demonstrates that elevated temperature substantially promotes carbonation under the studied aqueous conditions, consistent with observations reported in other carbonation studies </w:t>
      </w:r>
      <w:r w:rsidR="00141B86">
        <w:fldChar w:fldCharType="begin"/>
      </w:r>
      <w:r w:rsidR="000C78A0">
        <w:instrText xml:space="preserve"> ADDIN ZOTERO_ITEM CSL_CITATION {"citationID":"ex7284yA","properties":{"unsorted":false,"formattedCitation":"[25,28]","plainCitation":"[25,28]","noteIndex":0},"citationItems":[{"id":264,"uris":["http://zotero.org/users/local/CPEr2PVS/items/TWL36LHJ"],"itemData":{"id":264,"type":"article-journal","container-title":"ISIJ International","DOI":"10.2355/isijinternational.ISIJINT-2015-142","ISSN":"0915-1559, 1347-5460","issue":"11","journalAbbreviation":"ISIJ International","language":"en","page":"2509-2514","source":"DOI.org (Crossref)","title":"Aqueous Carbonation of Steel Slag: A Kinetics Study","title-short":"Aqueous Carbonation of Steel Slag","volume":"55","author":[{"family":"Tu","given":"Maoxia"},{"family":"Zhao","given":"Hongxin"},{"family":"Lei","given":"Ze"},{"family":"Wang","given":"Lina"},{"family":"Chen","given":"Desheng"},{"family":"Yu","given":"Hongdong"},{"family":"Qi","given":"Tao"}],"issued":{"date-parts":[["2015"]]}}},{"id":396,"uris":["http://zotero.org/users/local/CPEr2PVS/items/B8AVGQ3D"],"itemData":{"id":396,"type":"article-journal","abstract":"While carbon capture, utilization, and storage (CCUS) is recognized as a highly promising technology for largescale CO2 reduction from power and chemical industries, there have not been many investigative efforts on CCUS using biomass feedstock such as pepper stalk ash (PSA). Therefore, in this study, the direct carbonation of incinerated PSA via an aqueous route was studied under low-medium pressure conditions in an autoclave reactor. To optimize the reaction conditions in order to achieve the maximum carbonation efficiency, the complex effects of various operating parameters, such as the reaction temperature, liquid–solid (L/S) ratio, reaction time, pressure, and reaction gas, on the CO2 sequestration characteristics were systematically investigated. Under the theoretical framework of the shrinking core model (SCM) and assuming that the diffusion coefficient is a function of time, a new kinetic equation was proposed to provide a more precise fit to the experimental data of the heterogeneous direct carbonation. In addition to solid carbonates, PSA carbonation yielded dry residues from liquid products, which included 58.03 wt% potassium oxide and hence can potentially be used as feedstock for potassium fertilizers.","container-title":"Fuel","DOI":"10.1016/j.fuel.2021.121230","ISSN":"00162361","journalAbbreviation":"Fuel","language":"en","page":"121230","source":"DOI.org (Crossref)","title":"Experimental study and kinetics on CO2 mineral sequestration by the direct aqueous carbonation of pepper stalk ash","volume":"303","author":[{"family":"Miao","given":"Endong"},{"family":"Du","given":"Yi"},{"family":"Wang","given":"Hongyue"},{"family":"Xiong","given":"Zhuo"},{"family":"Zhao","given":"Yongchun"},{"family":"Zhang","given":"Junying"}],"issued":{"date-parts":[["2021",11]]}}}],"schema":"https://github.com/citation-style-language/schema/raw/master/csl-citation.json"} </w:instrText>
      </w:r>
      <w:r w:rsidR="00141B86">
        <w:fldChar w:fldCharType="separate"/>
      </w:r>
      <w:r w:rsidR="000C78A0" w:rsidRPr="000C78A0">
        <w:t>[25,28]</w:t>
      </w:r>
      <w:r w:rsidR="00141B86">
        <w:fldChar w:fldCharType="end"/>
      </w:r>
      <w:r w:rsidR="00141B86" w:rsidRPr="00141B86">
        <w:t>.</w:t>
      </w:r>
      <w:r w:rsidR="00384CF4">
        <w:t xml:space="preserve"> </w:t>
      </w:r>
      <w:r>
        <w:t>At lower reaction temperatures, both silicate dissolution and carbonate precipitation rates are generally low. Because the unseparated reaction slurries were completely dried at 105°C prior to characterization, any dissolved calcium and carbonate ions remaining in the fluid phase</w:t>
      </w:r>
      <w:r w:rsidR="0086792E">
        <w:t xml:space="preserve"> at lower carbonation reaction temperatures</w:t>
      </w:r>
      <w:r>
        <w:t xml:space="preserve"> would have been forced to precipitate as secondary carbonates during evaporation. The persistently low carbonation degree observed at low temperatures</w:t>
      </w:r>
      <w:r w:rsidR="0086792E">
        <w:t>, therefore,</w:t>
      </w:r>
      <w:r>
        <w:t xml:space="preserve"> indicates that the system was limited by the initial leaching and dissolution kinetics of the wollastonite matrix, rather than by </w:t>
      </w:r>
      <w:r w:rsidR="0086792E">
        <w:t>lower carbonate precipitation rates</w:t>
      </w:r>
      <w:r>
        <w:t>.</w:t>
      </w:r>
    </w:p>
    <w:p w14:paraId="290D0894" w14:textId="5B2B33AF" w:rsidR="00445DAF" w:rsidRPr="00267C17" w:rsidRDefault="003071C5" w:rsidP="000C78A0">
      <w:pPr>
        <w:pStyle w:val="BodyText"/>
        <w:spacing w:line="360" w:lineRule="auto"/>
        <w:jc w:val="both"/>
      </w:pPr>
      <w:r>
        <w:t xml:space="preserve">A comparison of the complete conversion profiles reveals that the effect of temperature was not uniform throughout the reaction period. At 25°C, conversion increased only marginally, from 0.043 at 5 minutes to 0.134 at 180 minutes, indicating minimal reaction progress. In contrast, at 45°C and 60°C, conversion increased more substantially, reaching 0.333 and 0.454 after 180 minutes, respectively. The highest conversions occurred at 75°C and 90°C, where the reaction proceeded rapidly, reaching 0.574 and 0.619 at the end of the experiment. These findings indicate that wollastonite carbonation is strongly kinetically constrained at </w:t>
      </w:r>
      <w:r>
        <w:lastRenderedPageBreak/>
        <w:t xml:space="preserve">low temperatures, whereas elevated temperatures significantly enhance conversion within a fixed reaction time, indicating that the main bottleneck is calcium ion concentration from leaching the wollastonite </w:t>
      </w:r>
      <w:r w:rsidR="0040343E">
        <w:fldChar w:fldCharType="begin"/>
      </w:r>
      <w:r w:rsidR="000C78A0">
        <w:instrText xml:space="preserve"> ADDIN ZOTERO_ITEM CSL_CITATION {"citationID":"lqqddhnE","properties":{"unsorted":false,"formattedCitation":"[15,29]","plainCitation":"[15,29]","noteIndex":0},"citationItems":[{"id":229,"uris":["http://zotero.org/users/local/CPEr2PVS/items/VTJCRFST"],"itemData":{"id":229,"type":"article-journal","abstract":"The mechanisms of aqueous wollastonite carbonation as a possible carbon dioxide sequestration process were investigated experimentally by systematic variation of the reaction temperature, CO2 pressure, particle size, reaction time, liquid to solid ratio and agitation power. The carbonation reaction was observed to occur via the aqueous phase in two steps: (1) Ca leaching from the CaSiO3 matrix and (2) CaCO3 nucleation and growth. Leaching is hindered by a Ca-depleted silicate rim resulting from incongruent Ca-dissolution. Two temperature regimes were identiﬁed in the overall carbonation process. At temperatures below an optimum reaction temperature, the overall reaction rate is probably limited by the leaching rate of Ca. At higher temperatures, nucleation and growth of calcium carbonate are probably limiting the conversion, due to a reduced (bi)carbonate activity. The mechanisms for the aqueous carbonation of wollastonite were shown to be similar to those reported previously for an industrial residue and a Mg–silicate. The carbonation of wollastonite proceeds rapidly relative to Mg–silicates, with a maximum conversion in 15 min of 70% at 200 ◦C, 20 bar CO2 partial pressure and particle size of &lt; 38 m. The obtained insight in the reaction mechanisms enables the energetic and economic assessment of CO2 sequestration by wollastonite carbonation, which forms an essential next step in its further development.","container-title":"Chemical Engineering Science","DOI":"10.1016/j.ces.2006.01.048","ISSN":"00092509","issue":"13","journalAbbreviation":"Chemical Engineering Science","language":"en","page":"4242-4251","source":"DOI.org (Crossref)","title":"Mechanisms of aqueous wollastonite carbonation as a possible CO2 sequestration process","volume":"61","author":[{"family":"Huijgen","given":"Wouter J.J."},{"family":"Witkamp","given":"Geert-Jan"},{"family":"Comans","given":"Rob N.J."}],"issued":{"date-parts":[["2006",7]]}}},{"id":271,"uris":["http://zotero.org/users/local/CPEr2PVS/items/XUZL7STH"],"itemData":{"id":271,"type":"article-journal","container-title":"Journal of CO2 Utilization","DOI":"10.1016/j.jcou.2019.03.013","ISSN":"22129820","journalAbbreviation":"Journal of CO2 Utilization","language":"en","page":"181-191","source":"DOI.org (Crossref)","title":"Mathematical modelling and experimental study of carbonation of wollastonite in the aqueous media","volume":"31","author":[{"family":"Yadav","given":"Shashikant"},{"family":"Mehra","given":"Anurag"}],"issued":{"date-parts":[["2019",5]]}}}],"schema":"https://github.com/citation-style-language/schema/raw/master/csl-citation.json"} </w:instrText>
      </w:r>
      <w:r w:rsidR="0040343E">
        <w:fldChar w:fldCharType="separate"/>
      </w:r>
      <w:r w:rsidR="000C78A0" w:rsidRPr="000C78A0">
        <w:t>[15,29]</w:t>
      </w:r>
      <w:r w:rsidR="0040343E">
        <w:fldChar w:fldCharType="end"/>
      </w:r>
      <w:r w:rsidR="007F2995" w:rsidRPr="00267C17">
        <w:t>.</w:t>
      </w:r>
    </w:p>
    <w:p w14:paraId="65666D29" w14:textId="78BDD86D" w:rsidR="003071C5" w:rsidRDefault="003071C5" w:rsidP="003071C5">
      <w:pPr>
        <w:pStyle w:val="BodyText"/>
        <w:spacing w:line="360" w:lineRule="auto"/>
        <w:jc w:val="both"/>
      </w:pPr>
      <w:r>
        <w:t xml:space="preserve">A notable aspect of the data is that the influence of temperature was not strictly </w:t>
      </w:r>
      <w:r w:rsidR="0086792E">
        <w:t>uniform</w:t>
      </w:r>
      <w:r>
        <w:t xml:space="preserve"> during the initial reaction stage. While the final conversion followed the expected order of 90°C &gt; 75°C &gt; 60°C &gt; 45°C &gt; 25°C, early-time behavior deviated from this trend. At 5 minutes, conversion at 90°C (0.032) was lower than at all other temperatures, and even at 10 and 15 minutes remained below those at 60°C and 75°C. Only after extended reaction times did the 90°C condition surpass the others, ultimately yielding the highest final conversion. This early-stage deviation may indicate that multiple coupled processes contribute to the overall carbonation pathway. Although higher </w:t>
      </w:r>
      <w:r w:rsidR="0086792E">
        <w:t>temperatures are expected to enhance wollastonite dissolution and carbonate formation, they</w:t>
      </w:r>
      <w:r>
        <w:t xml:space="preserve"> may also affect the availability of dissolved CO₂ in the liquid phase during the initial reaction stage. The data therefore suggest that the overall process results from the interplay of dissolution, ion release, carbonate nucleation and growth, and evolving transport limitations.</w:t>
      </w:r>
    </w:p>
    <w:p w14:paraId="5268704E" w14:textId="0AD0A3B3" w:rsidR="003071C5" w:rsidRDefault="003071C5" w:rsidP="003071C5">
      <w:pPr>
        <w:pStyle w:val="BodyText"/>
        <w:spacing w:line="360" w:lineRule="auto"/>
        <w:jc w:val="both"/>
      </w:pPr>
      <w:r>
        <w:t>A further notable feature of the conversion curves is the progressive decrease in slope over time at all temperatures. At intermediate and high temperatures, the reaction initially proceeded rapidly before gradually slowing. This pattern indicates that the carbonation process does not follow a constant-rate mechanism throughout the experiment, but instead transitions through at least two kinetic stages: an initial fast regime followed by a slower regime at extended times. The initial stage likely corresponds to the availability of fresh reactive wollastonite surface and rapid release of calcium-bearing species, while the later stage may be influenced by reduced surface availability, accumulation of solid products, or the development of diffusion resistance through surface layers or precipitated phases.</w:t>
      </w:r>
    </w:p>
    <w:p w14:paraId="74F60FDB" w14:textId="6A7C75EC" w:rsidR="003071C5" w:rsidRDefault="003071C5" w:rsidP="00125426">
      <w:pPr>
        <w:pStyle w:val="BodyText"/>
        <w:spacing w:line="360" w:lineRule="auto"/>
        <w:jc w:val="both"/>
      </w:pPr>
      <w:r>
        <w:t>This</w:t>
      </w:r>
      <w:r w:rsidR="00125426">
        <w:t xml:space="preserve"> </w:t>
      </w:r>
      <w:r w:rsidR="00125426" w:rsidRPr="00125426">
        <w:t>apparent</w:t>
      </w:r>
      <w:r>
        <w:t xml:space="preserve"> shift in kinetic behavior is particularly evident in the 75°C and 90°C curves. At 60 minutes, conversions were 0.310 and 0.301, respectively, but at longer times the curves diverged, with 90°C reaching 0.619 compared to 0.574 at 75°C after 180 minutes. This suggests that the advantage of the highest temperature becomes more pronounced during the later stage of carbonation and may indicate that elevated temperature not only </w:t>
      </w:r>
      <w:r>
        <w:lastRenderedPageBreak/>
        <w:t>accelerates the initial reaction but also sustains carbonation progress despite the gradual development of product-layer, silica gel-layer effects, or other kinetic limitations.</w:t>
      </w:r>
    </w:p>
    <w:p w14:paraId="6CF316EF" w14:textId="561D4C57" w:rsidR="00C6763E" w:rsidRPr="00267C17" w:rsidRDefault="003071C5" w:rsidP="00743BA0">
      <w:pPr>
        <w:pStyle w:val="BodyText"/>
        <w:spacing w:line="360" w:lineRule="auto"/>
        <w:jc w:val="both"/>
      </w:pPr>
      <w:r>
        <w:t xml:space="preserve">In summary, the conversion–time profiles demonstrate that temperature influences both the magnitude of the carbonation rate and the temporal evolution of the reaction. The data reveal an initially rapid stage followed by a slower regime, with the relative significance of these stages varying with temperature. Consequently, wollastonite carbonation under the studied wet conditions cannot be adequately described as a single, uniform process governed by one mechanism throughout the reaction period. Instead, the observed profiles indicate evolving kinetic regimes, providing a robust foundation for subsequent model-based analysis using approaches such as the </w:t>
      </w:r>
      <w:proofErr w:type="spellStart"/>
      <w:r>
        <w:t>Avrami</w:t>
      </w:r>
      <w:proofErr w:type="spellEnd"/>
      <w:r>
        <w:t xml:space="preserve"> model and shrinking core model formulations.</w:t>
      </w:r>
    </w:p>
    <w:p w14:paraId="10F3EEB1" w14:textId="44619FC9" w:rsidR="00EE39C9" w:rsidRPr="00267C17" w:rsidRDefault="00010CF3" w:rsidP="007F2AAB">
      <w:pPr>
        <w:pStyle w:val="Heading2"/>
        <w:rPr>
          <w:color w:val="auto"/>
        </w:rPr>
      </w:pPr>
      <w:r w:rsidRPr="00267C17">
        <w:rPr>
          <w:color w:val="auto"/>
        </w:rPr>
        <w:t>Comparative fitting of kinetic models</w:t>
      </w:r>
    </w:p>
    <w:p w14:paraId="38FD6B26" w14:textId="3E8853D0" w:rsidR="009026DE" w:rsidRDefault="008514D5" w:rsidP="008514D5">
      <w:pPr>
        <w:pStyle w:val="BodyText"/>
        <w:spacing w:line="360" w:lineRule="auto"/>
        <w:jc w:val="both"/>
      </w:pPr>
      <w:r w:rsidRPr="008514D5">
        <w:t>Wet carbonation of wollastonite proceeds through the interconnected physicochemical steps described in the Introduction</w:t>
      </w:r>
      <w:r w:rsidR="00F03AA4">
        <w:t xml:space="preserve"> (Eq.1-Eq.4)</w:t>
      </w:r>
      <w:r w:rsidR="009026DE" w:rsidRPr="00267C17">
        <w:t xml:space="preserve">. The relative significance of these steps varies with reaction conditions, particularly temperature, which can influence the apparent rate-controlling regime. To elucidate the temperature-dependent kinetic behavior of wollastonite carbonation, experimental conversion data were analyzed using three kinetic models: the </w:t>
      </w:r>
      <w:proofErr w:type="spellStart"/>
      <w:r w:rsidR="009026DE" w:rsidRPr="00267C17">
        <w:t>Avrami</w:t>
      </w:r>
      <w:proofErr w:type="spellEnd"/>
      <w:r w:rsidR="009026DE" w:rsidRPr="00267C17">
        <w:t xml:space="preserve"> model, the shrinking-core model with chemical reaction control, and the shrinking-core model with diffusion control</w:t>
      </w:r>
      <w:r w:rsidR="000C78A0">
        <w:fldChar w:fldCharType="begin"/>
      </w:r>
      <w:r w:rsidR="000C78A0">
        <w:instrText xml:space="preserve"> ADDIN ZOTERO_ITEM CSL_CITATION {"citationID":"RGEf2pQa","properties":{"unsorted":false,"formattedCitation":"[23\\uc0\\u8211{}25]","plainCitation":"[23–25]","noteIndex":0},"citationItems":[{"id":350,"uris":["http://zotero.org/users/local/CPEr2PVS/items/FMY3KNM3"],"itemData":{"id":350,"type":"book","abstract":"This textbook has emerged from the lectures on chemical kinetics given by the author for more than 15 years to chemistry students at Moscow State University as part of a general course in physical chemistry. Much space in the book is devoted to the fundamental concepts, and therefore it may serve as an elementary textbook. On the other hand, the book provides a more detailed treatment of some theoretical problems than is found in ordinary courses of physical chemistry. For instance, the section dealing with unimolecular reactions has been considerably augmented; an example is a detailed account of the Slater theory.\nFurthermore, the author has found it useful to supplement the treatment of the various aspects of the theory of the activated complex (transition-state theory) with concrete examples of the application of this theory to bimolecular reactions involving complexes of various configurations, the results of calculations being compared with the theory of activated collisions. This information should be helpful in applying the theory of kinetics in practical work. The exposition of the principles of transition-state theory is preceded by Chapter 5, which is devoted to the foundations of statistical thermodynamics. The experience of teaching physical chemistry at the Chemistry Department has shown that this chapter may be self-contained in a study of the fundamentals of thermodynamics.\nSeparate chapters are concerned with the kinetics of photochemical reactions and reactions taking place in electrical discharges. The inclusion of these topics may evidently be partly explained by the author’s personal tastes and the trend of his work in the corresponding fields of chemical kinetics.\nReactions in solutions and homogeneous catalysis in solutions are treated in Chapter 12. Here, much attention is paid to the theory of intermediates and, in particular, to the classical works of E. I. Shpitalsky, a Professor at Moscow University.\nThe author has deliberately avoided expounding heterogeneous catalysis, an area so wide that it would have increased the size of the book three times at least, among other things.\nThis book is intended both for beginning students of chemical kinetics and chemistry and chemical engineering for a more thorough study of the subject. It may also be useful for postgraduates and all those wishing to study chemical kinetics.\nIn preparing this second edition, I have incorporated the comments made by my colleagues. Also, all the misprints have been corrected, and I have included a new section devoted to methods of measuring reaction rates and reaction orders, as well as chapters on the kinetics of processes.\nIn conclusion, the author extends his gratitude to E. A. Rubtsov and B. Belov, who have been kind enough to offer their help in preparing this manuscript.\nTranslated from the Russian by Artavazd Beknazarov.","language":"eng","publisher":"Mir Publishers","source":"Internet Archive","title":"The Foundations Of Chemical Kinetics Mir","URL":"http://archive.org/details/e.-n.-yeremin-the-foundations-of-chemical-kinetics-mir-1979","author":[{"literal":"E. N. Yeremin"}],"accessed":{"date-parts":[["2026",1,19]]},"issued":{"date-parts":[["1979"]]}}},{"id":264,"uris":["http://zotero.org/users/local/CPEr2PVS/items/TWL36LHJ"],"itemData":{"id":264,"type":"article-journal","container-title":"ISIJ International","DOI":"10.2355/isijinternational.ISIJINT-2015-142","ISSN":"0915-1559, 1347-5460","issue":"11","journalAbbreviation":"ISIJ International","language":"en","page":"2509-2514","source":"DOI.org (Crossref)","title":"Aqueous Carbonation of Steel Slag: A Kinetics Study","title-short":"Aqueous Carbonation of Steel Slag","volume":"55","author":[{"family":"Tu","given":"Maoxia"},{"family":"Zhao","given":"Hongxin"},{"family":"Lei","given":"Ze"},{"family":"Wang","given":"Lina"},{"family":"Chen","given":"Desheng"},{"family":"Yu","given":"Hongdong"},{"family":"Qi","given":"Tao"}],"issued":{"date-parts":[["2015"]]}}},{"id":362,"uris":["http://zotero.org/users/local/CPEr2PVS/items/2MMGSWZZ"],"itemData":{"id":362,"type":"book","abstract":"Text for senior undergrads or first-year graduate students. Assumes previous exposure to phase equilibria, crystal structures, defects, and metallography. Covers the principles, diffusion and empirical rate equations, classification of phase transformations, atomic mechanisms, spinodal decomposition. Annotation copyrighted by Book News, Inc., Portland, OR","ISBN":"978-0-13-663055-5","language":"en","note":"Google-Books-ID: m5oQAQAAMAAJ","number-of-pages":"504","publisher":"Prentice Hall","source":"Google Books","title":"Phase Transformation in Materials","author":[{"family":"Jena","given":"A. K."},{"family":"Chaturvedi","given":"M. C."}],"issued":{"date-parts":[["1992"]]}}}],"schema":"https://github.com/citation-style-language/schema/raw/master/csl-citation.json"} </w:instrText>
      </w:r>
      <w:r w:rsidR="000C78A0">
        <w:fldChar w:fldCharType="separate"/>
      </w:r>
      <w:r w:rsidR="000C78A0" w:rsidRPr="000C78A0">
        <w:rPr>
          <w:rFonts w:cs="Times New Roman"/>
        </w:rPr>
        <w:t>[23–25]</w:t>
      </w:r>
      <w:r w:rsidR="000C78A0">
        <w:fldChar w:fldCharType="end"/>
      </w:r>
      <w:r w:rsidR="009026DE" w:rsidRPr="00267C17">
        <w:t>.</w:t>
      </w:r>
    </w:p>
    <w:p w14:paraId="5AABD0D5" w14:textId="19DEA79B" w:rsidR="001B28D8" w:rsidRDefault="001B28D8" w:rsidP="001B28D8">
      <w:pPr>
        <w:pStyle w:val="BodyText"/>
        <w:spacing w:line="360" w:lineRule="auto"/>
        <w:jc w:val="both"/>
      </w:pPr>
      <w:r w:rsidRPr="001B28D8">
        <w:t>For the shrinking-core model, the following linearized expressions for chemical reaction</w:t>
      </w:r>
      <w:r>
        <w:t xml:space="preserve"> </w:t>
      </w:r>
      <w:r w:rsidRPr="001B28D8">
        <w:t>control</w:t>
      </w:r>
      <w:r>
        <w:t xml:space="preserve"> (5)</w:t>
      </w:r>
      <w:r w:rsidRPr="001B28D8">
        <w:t xml:space="preserve"> and diffusion control</w:t>
      </w:r>
      <w:r>
        <w:t xml:space="preserve"> (6)</w:t>
      </w:r>
      <w:r w:rsidRPr="001B28D8">
        <w:t xml:space="preserve"> were applied</w:t>
      </w:r>
      <w:r w:rsidR="008570E3">
        <w:t xml:space="preserve"> (</w:t>
      </w:r>
      <w:r w:rsidR="008570E3" w:rsidRPr="00A27D86">
        <w:t xml:space="preserve">In all model expressions, </w:t>
      </w:r>
      <w:r w:rsidR="008570E3" w:rsidRPr="006C5D51">
        <w:rPr>
          <w:i/>
          <w:iCs/>
        </w:rPr>
        <w:t xml:space="preserve">X </w:t>
      </w:r>
      <w:r w:rsidR="008570E3" w:rsidRPr="00A27D86">
        <w:t>represents the fractional carbonation conversion at time t</w:t>
      </w:r>
      <w:r w:rsidR="008570E3">
        <w:t xml:space="preserve"> (Eq.</w:t>
      </w:r>
      <w:r w:rsidR="008570E3">
        <w:fldChar w:fldCharType="begin"/>
      </w:r>
      <w:r w:rsidR="008570E3">
        <w:instrText xml:space="preserve"> REF Conversion \h </w:instrText>
      </w:r>
      <w:r w:rsidR="008570E3">
        <w:fldChar w:fldCharType="separate"/>
      </w:r>
      <w:r w:rsidR="008570E3">
        <w:rPr>
          <w:rFonts w:ascii="Times New Roman" w:eastAsia="Times New Roman" w:hAnsi="Times New Roman" w:cs="Times New Roman"/>
        </w:rPr>
        <w:t>(</w:t>
      </w:r>
      <w:r w:rsidR="008570E3">
        <w:rPr>
          <w:rFonts w:ascii="Times New Roman" w:eastAsia="Times New Roman" w:hAnsi="Times New Roman" w:cs="Times New Roman"/>
          <w:noProof/>
        </w:rPr>
        <w:t>5</w:t>
      </w:r>
      <w:r w:rsidR="008570E3">
        <w:rPr>
          <w:rFonts w:ascii="Times New Roman" w:eastAsia="Times New Roman" w:hAnsi="Times New Roman" w:cs="Times New Roman"/>
        </w:rPr>
        <w:t>)</w:t>
      </w:r>
      <w:r w:rsidR="008570E3">
        <w:fldChar w:fldCharType="end"/>
      </w:r>
      <w:r w:rsidR="008570E3">
        <w:t>)</w:t>
      </w:r>
      <w:r w:rsidR="008570E3" w:rsidRPr="00A27D86">
        <w:t>.</w:t>
      </w:r>
      <w:r w:rsidR="008570E3">
        <w:t>)</w:t>
      </w:r>
      <w:r w:rsidRPr="001B28D8">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55"/>
        <w:gridCol w:w="941"/>
      </w:tblGrid>
      <w:tr w:rsidR="001B28D8" w14:paraId="117DAE77" w14:textId="77777777" w:rsidTr="001B28D8">
        <w:tc>
          <w:tcPr>
            <w:tcW w:w="8455" w:type="dxa"/>
          </w:tcPr>
          <w:p w14:paraId="22CD32E4" w14:textId="22BED0B1" w:rsidR="001B28D8" w:rsidRDefault="001B28D8" w:rsidP="001B28D8">
            <w:pPr>
              <w:pStyle w:val="BodyText"/>
              <w:spacing w:line="360" w:lineRule="auto"/>
              <w:jc w:val="both"/>
            </w:pPr>
            <w:r w:rsidRPr="00267C17">
              <w:t>1</w:t>
            </w:r>
            <w:r>
              <w:t> </w:t>
            </w:r>
            <w:r w:rsidRPr="00267C17">
              <w:t>-</w:t>
            </w:r>
            <w:r>
              <w:t> </w:t>
            </w:r>
            <w:r w:rsidRPr="00267C17">
              <w:t>(1</w:t>
            </w:r>
            <w:r>
              <w:t> </w:t>
            </w:r>
            <w:r>
              <w:noBreakHyphen/>
              <w:t> </w:t>
            </w:r>
            <w:r w:rsidRPr="0075043D">
              <w:rPr>
                <w:i/>
              </w:rPr>
              <w:t>X</w:t>
            </w:r>
            <w:r w:rsidRPr="00267C17">
              <w:t>)</w:t>
            </w:r>
            <w:r w:rsidRPr="00267C17">
              <w:rPr>
                <w:vertAlign w:val="superscript"/>
              </w:rPr>
              <w:t>1/3</w:t>
            </w:r>
            <w:r>
              <w:t> </w:t>
            </w:r>
            <w:r w:rsidRPr="00267C17">
              <w:t>=</w:t>
            </w:r>
            <w:r>
              <w:t> </w:t>
            </w:r>
            <w:proofErr w:type="spellStart"/>
            <w:r w:rsidRPr="0075043D">
              <w:rPr>
                <w:i/>
              </w:rPr>
              <w:t>k</w:t>
            </w:r>
            <w:r>
              <w:rPr>
                <w:vertAlign w:val="subscript"/>
              </w:rPr>
              <w:t>r</w:t>
            </w:r>
            <w:r w:rsidRPr="00267C17">
              <w:t>·</w:t>
            </w:r>
            <w:r w:rsidRPr="0075043D">
              <w:rPr>
                <w:i/>
              </w:rPr>
              <w:t>t</w:t>
            </w:r>
            <w:proofErr w:type="spellEnd"/>
          </w:p>
        </w:tc>
        <w:tc>
          <w:tcPr>
            <w:tcW w:w="941" w:type="dxa"/>
          </w:tcPr>
          <w:p w14:paraId="35261844" w14:textId="560EA1E9" w:rsidR="001B28D8" w:rsidRDefault="001B28D8" w:rsidP="001B28D8">
            <w:pPr>
              <w:pStyle w:val="BodyText"/>
              <w:spacing w:line="360" w:lineRule="auto"/>
              <w:jc w:val="both"/>
            </w:pPr>
            <w:r>
              <w:t>(</w:t>
            </w:r>
            <w:r>
              <w:fldChar w:fldCharType="begin"/>
            </w:r>
            <w:r>
              <w:instrText xml:space="preserve"> seq eq </w:instrText>
            </w:r>
            <w:r>
              <w:fldChar w:fldCharType="separate"/>
            </w:r>
            <w:r w:rsidR="00A27D86">
              <w:rPr>
                <w:noProof/>
              </w:rPr>
              <w:t>7</w:t>
            </w:r>
            <w:r>
              <w:fldChar w:fldCharType="end"/>
            </w:r>
            <w:r>
              <w:t>)</w:t>
            </w:r>
          </w:p>
        </w:tc>
      </w:tr>
      <w:tr w:rsidR="001B28D8" w14:paraId="564BA9F9" w14:textId="77777777" w:rsidTr="001B28D8">
        <w:tc>
          <w:tcPr>
            <w:tcW w:w="8455" w:type="dxa"/>
          </w:tcPr>
          <w:p w14:paraId="1D9AC2D4" w14:textId="288ADDE4" w:rsidR="001B28D8" w:rsidRDefault="001B28D8" w:rsidP="001B28D8">
            <w:pPr>
              <w:pStyle w:val="BodyText"/>
              <w:jc w:val="both"/>
            </w:pPr>
            <w:r w:rsidRPr="00267C17">
              <w:t>1</w:t>
            </w:r>
            <w:r>
              <w:t> </w:t>
            </w:r>
            <w:r>
              <w:noBreakHyphen/>
              <w:t> </w:t>
            </w:r>
            <w:r w:rsidRPr="00267C17">
              <w:t>(1</w:t>
            </w:r>
            <w:r>
              <w:t> </w:t>
            </w:r>
            <w:r>
              <w:noBreakHyphen/>
              <w:t> </w:t>
            </w:r>
            <w:r w:rsidRPr="0075043D">
              <w:rPr>
                <w:i/>
              </w:rPr>
              <w:t>X</w:t>
            </w:r>
            <w:r w:rsidRPr="00267C17">
              <w:t>)</w:t>
            </w:r>
            <w:r w:rsidRPr="00267C17">
              <w:rPr>
                <w:vertAlign w:val="superscript"/>
              </w:rPr>
              <w:t>2/3</w:t>
            </w:r>
            <w:r w:rsidRPr="0075043D">
              <w:t> </w:t>
            </w:r>
            <w:r w:rsidRPr="00267C17">
              <w:t>+</w:t>
            </w:r>
            <w:r>
              <w:t> </w:t>
            </w:r>
            <w:r w:rsidRPr="00267C17">
              <w:t>2(1</w:t>
            </w:r>
            <w:r>
              <w:t> </w:t>
            </w:r>
            <w:r>
              <w:noBreakHyphen/>
              <w:t> </w:t>
            </w:r>
            <w:r w:rsidRPr="0075043D">
              <w:rPr>
                <w:i/>
              </w:rPr>
              <w:t>X</w:t>
            </w:r>
            <w:r w:rsidRPr="00267C17">
              <w:t>)</w:t>
            </w:r>
            <w:r>
              <w:t> </w:t>
            </w:r>
            <w:r w:rsidRPr="00267C17">
              <w:t>=</w:t>
            </w:r>
            <w:r>
              <w:t> </w:t>
            </w:r>
            <w:proofErr w:type="spellStart"/>
            <w:r w:rsidRPr="0075043D">
              <w:rPr>
                <w:i/>
              </w:rPr>
              <w:t>k</w:t>
            </w:r>
            <w:r w:rsidRPr="0075043D">
              <w:rPr>
                <w:vertAlign w:val="subscript"/>
              </w:rPr>
              <w:t>d</w:t>
            </w:r>
            <w:r w:rsidRPr="00267C17">
              <w:t>·</w:t>
            </w:r>
            <w:r w:rsidRPr="0075043D">
              <w:rPr>
                <w:i/>
              </w:rPr>
              <w:t>t</w:t>
            </w:r>
            <w:proofErr w:type="spellEnd"/>
          </w:p>
        </w:tc>
        <w:tc>
          <w:tcPr>
            <w:tcW w:w="941" w:type="dxa"/>
          </w:tcPr>
          <w:p w14:paraId="55311050" w14:textId="0F1C0D09" w:rsidR="001B28D8" w:rsidRDefault="001B28D8" w:rsidP="001B28D8">
            <w:pPr>
              <w:pStyle w:val="BodyText"/>
              <w:spacing w:line="360" w:lineRule="auto"/>
              <w:jc w:val="both"/>
            </w:pPr>
            <w:r>
              <w:t>(</w:t>
            </w:r>
            <w:r>
              <w:fldChar w:fldCharType="begin"/>
            </w:r>
            <w:r>
              <w:instrText xml:space="preserve"> seq eq </w:instrText>
            </w:r>
            <w:r>
              <w:fldChar w:fldCharType="separate"/>
            </w:r>
            <w:r w:rsidR="00A27D86">
              <w:rPr>
                <w:noProof/>
              </w:rPr>
              <w:t>8</w:t>
            </w:r>
            <w:r>
              <w:fldChar w:fldCharType="end"/>
            </w:r>
            <w:r>
              <w:t>)</w:t>
            </w:r>
          </w:p>
        </w:tc>
      </w:tr>
    </w:tbl>
    <w:p w14:paraId="70FCE185" w14:textId="7C6C0BD8" w:rsidR="001B28D8" w:rsidRPr="001B28D8" w:rsidRDefault="001B28D8" w:rsidP="00A27D86">
      <w:pPr>
        <w:pStyle w:val="BodyText"/>
        <w:spacing w:line="360" w:lineRule="auto"/>
        <w:jc w:val="both"/>
      </w:pPr>
      <w:r w:rsidRPr="001B28D8">
        <w:t xml:space="preserve">where the apparent rate constants </w:t>
      </w:r>
      <w:proofErr w:type="spellStart"/>
      <w:r w:rsidRPr="001B28D8">
        <w:t>k</w:t>
      </w:r>
      <w:r w:rsidRPr="001B28D8">
        <w:rPr>
          <w:vertAlign w:val="subscript"/>
        </w:rPr>
        <w:t>r</w:t>
      </w:r>
      <w:proofErr w:type="spellEnd"/>
      <w:r w:rsidRPr="001B28D8">
        <w:t xml:space="preserve"> and </w:t>
      </w:r>
      <w:proofErr w:type="spellStart"/>
      <w:r w:rsidRPr="001B28D8">
        <w:t>k</w:t>
      </w:r>
      <w:r w:rsidRPr="001B28D8">
        <w:rPr>
          <w:vertAlign w:val="subscript"/>
        </w:rPr>
        <w:t>d</w:t>
      </w:r>
      <w:proofErr w:type="spellEnd"/>
      <w:r>
        <w:t xml:space="preserve"> </w:t>
      </w:r>
      <w:r w:rsidRPr="001B28D8">
        <w:t>were obtained directly from the slopes of the fitted lines.</w:t>
      </w:r>
      <w:r w:rsidR="00A27D86" w:rsidRPr="00A27D86">
        <w:t xml:space="preserve"> </w:t>
      </w:r>
    </w:p>
    <w:p w14:paraId="415AE1B8" w14:textId="77777777" w:rsidR="00F03AA4" w:rsidRDefault="00F03AA4" w:rsidP="00F03AA4">
      <w:pPr>
        <w:pStyle w:val="BodyText"/>
        <w:spacing w:line="360" w:lineRule="auto"/>
        <w:jc w:val="both"/>
      </w:pPr>
      <w:r w:rsidRPr="00267C17">
        <w:t xml:space="preserve">For the </w:t>
      </w:r>
      <w:proofErr w:type="spellStart"/>
      <w:r w:rsidRPr="00267C17">
        <w:t>Avrami</w:t>
      </w:r>
      <w:proofErr w:type="spellEnd"/>
      <w:r w:rsidRPr="00267C17">
        <w:t xml:space="preserve"> model, the linearized form</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50"/>
        <w:gridCol w:w="846"/>
      </w:tblGrid>
      <w:tr w:rsidR="001B28D8" w:rsidRPr="001B28D8" w14:paraId="47B30C50" w14:textId="77777777" w:rsidTr="001B28D8">
        <w:tc>
          <w:tcPr>
            <w:tcW w:w="8550" w:type="dxa"/>
          </w:tcPr>
          <w:p w14:paraId="36CB92D1" w14:textId="128D9837" w:rsidR="001B28D8" w:rsidRPr="001B28D8" w:rsidRDefault="001B28D8" w:rsidP="001B28D8">
            <w:pPr>
              <w:pStyle w:val="BodyText"/>
              <w:spacing w:line="360" w:lineRule="auto"/>
              <w:jc w:val="both"/>
              <w:rPr>
                <w:lang w:val="de-DE"/>
              </w:rPr>
            </w:pPr>
            <w:proofErr w:type="spellStart"/>
            <w:proofErr w:type="gramStart"/>
            <w:r w:rsidRPr="001B28D8">
              <w:rPr>
                <w:lang w:val="de-DE"/>
              </w:rPr>
              <w:lastRenderedPageBreak/>
              <w:t>ln</w:t>
            </w:r>
            <w:proofErr w:type="spellEnd"/>
            <w:r w:rsidRPr="001B28D8">
              <w:rPr>
                <w:lang w:val="de-DE"/>
              </w:rPr>
              <w:t>[</w:t>
            </w:r>
            <w:proofErr w:type="gramEnd"/>
            <w:r w:rsidRPr="001B28D8">
              <w:rPr>
                <w:lang w:val="de-DE"/>
              </w:rPr>
              <w:t>−</w:t>
            </w:r>
            <w:proofErr w:type="spellStart"/>
            <w:r w:rsidRPr="001B28D8">
              <w:rPr>
                <w:lang w:val="de-DE"/>
              </w:rPr>
              <w:t>ln</w:t>
            </w:r>
            <w:proofErr w:type="spellEnd"/>
            <w:r w:rsidRPr="001B28D8">
              <w:rPr>
                <w:lang w:val="de-DE"/>
              </w:rPr>
              <w:t>(1 </w:t>
            </w:r>
            <w:r w:rsidRPr="001B28D8">
              <w:rPr>
                <w:lang w:val="de-DE"/>
              </w:rPr>
              <w:noBreakHyphen/>
              <w:t> </w:t>
            </w:r>
            <w:r w:rsidRPr="001B28D8">
              <w:rPr>
                <w:i/>
                <w:lang w:val="de-DE"/>
              </w:rPr>
              <w:t>X</w:t>
            </w:r>
            <w:r w:rsidRPr="001B28D8">
              <w:rPr>
                <w:lang w:val="de-DE"/>
              </w:rPr>
              <w:t>)] = </w:t>
            </w:r>
            <w:proofErr w:type="spellStart"/>
            <w:r w:rsidRPr="001B28D8">
              <w:rPr>
                <w:lang w:val="de-DE"/>
              </w:rPr>
              <w:t>ln</w:t>
            </w:r>
            <w:r w:rsidRPr="001B28D8">
              <w:rPr>
                <w:i/>
                <w:lang w:val="de-DE"/>
              </w:rPr>
              <w:t>k</w:t>
            </w:r>
            <w:r w:rsidRPr="001B28D8">
              <w:rPr>
                <w:vertAlign w:val="subscript"/>
                <w:lang w:val="de-DE"/>
              </w:rPr>
              <w:t>a</w:t>
            </w:r>
            <w:proofErr w:type="spellEnd"/>
            <w:r w:rsidRPr="001B28D8">
              <w:rPr>
                <w:lang w:val="de-DE"/>
              </w:rPr>
              <w:t> + </w:t>
            </w:r>
            <w:proofErr w:type="spellStart"/>
            <w:r w:rsidRPr="001B28D8">
              <w:rPr>
                <w:i/>
                <w:lang w:val="de-DE"/>
              </w:rPr>
              <w:t>n</w:t>
            </w:r>
            <w:r w:rsidRPr="001B28D8">
              <w:rPr>
                <w:lang w:val="de-DE"/>
              </w:rPr>
              <w:t>ln</w:t>
            </w:r>
            <w:r w:rsidRPr="001B28D8">
              <w:rPr>
                <w:i/>
                <w:lang w:val="de-DE"/>
              </w:rPr>
              <w:t>t</w:t>
            </w:r>
            <w:proofErr w:type="spellEnd"/>
          </w:p>
        </w:tc>
        <w:tc>
          <w:tcPr>
            <w:tcW w:w="846" w:type="dxa"/>
          </w:tcPr>
          <w:p w14:paraId="3ACC38FD" w14:textId="4912D46C" w:rsidR="001B28D8" w:rsidRPr="001B28D8" w:rsidRDefault="001B28D8" w:rsidP="00F03AA4">
            <w:pPr>
              <w:pStyle w:val="BodyText"/>
              <w:spacing w:line="360" w:lineRule="auto"/>
              <w:jc w:val="both"/>
              <w:rPr>
                <w:lang w:val="de-DE"/>
              </w:rPr>
            </w:pPr>
            <w:r>
              <w:rPr>
                <w:lang w:val="de-DE"/>
              </w:rPr>
              <w:t>(</w:t>
            </w:r>
            <w:r>
              <w:rPr>
                <w:lang w:val="de-DE"/>
              </w:rPr>
              <w:fldChar w:fldCharType="begin"/>
            </w:r>
            <w:r>
              <w:rPr>
                <w:lang w:val="de-DE"/>
              </w:rPr>
              <w:instrText xml:space="preserve"> seq eq </w:instrText>
            </w:r>
            <w:r>
              <w:rPr>
                <w:lang w:val="de-DE"/>
              </w:rPr>
              <w:fldChar w:fldCharType="separate"/>
            </w:r>
            <w:r w:rsidR="00A27D86">
              <w:rPr>
                <w:noProof/>
                <w:lang w:val="de-DE"/>
              </w:rPr>
              <w:t>9</w:t>
            </w:r>
            <w:r>
              <w:rPr>
                <w:lang w:val="de-DE"/>
              </w:rPr>
              <w:fldChar w:fldCharType="end"/>
            </w:r>
            <w:r>
              <w:rPr>
                <w:lang w:val="de-DE"/>
              </w:rPr>
              <w:t>)</w:t>
            </w:r>
          </w:p>
        </w:tc>
      </w:tr>
    </w:tbl>
    <w:p w14:paraId="54CA94E1" w14:textId="5B1FF052" w:rsidR="00F03AA4" w:rsidRPr="00267C17" w:rsidRDefault="00F03AA4" w:rsidP="00F03AA4">
      <w:pPr>
        <w:pStyle w:val="BodyText"/>
        <w:spacing w:line="360" w:lineRule="auto"/>
        <w:jc w:val="both"/>
      </w:pPr>
      <w:r w:rsidRPr="00267C17">
        <w:t xml:space="preserve">was applied, where the slope corresponds to the </w:t>
      </w:r>
      <w:proofErr w:type="spellStart"/>
      <w:r w:rsidRPr="00267C17">
        <w:t>Avrami</w:t>
      </w:r>
      <w:proofErr w:type="spellEnd"/>
      <w:r w:rsidRPr="00267C17">
        <w:t xml:space="preserve"> exponent </w:t>
      </w:r>
      <w:r w:rsidRPr="0075043D">
        <w:rPr>
          <w:i/>
        </w:rPr>
        <w:t>n</w:t>
      </w:r>
      <w:r w:rsidRPr="00267C17">
        <w:t xml:space="preserve"> and the intercept corresponds to </w:t>
      </w:r>
      <w:proofErr w:type="spellStart"/>
      <w:r w:rsidRPr="00267C17">
        <w:t>ln</w:t>
      </w:r>
      <w:r w:rsidRPr="0075043D">
        <w:rPr>
          <w:i/>
        </w:rPr>
        <w:t>k</w:t>
      </w:r>
      <w:r w:rsidRPr="0075043D">
        <w:rPr>
          <w:vertAlign w:val="subscript"/>
        </w:rPr>
        <w:t>a</w:t>
      </w:r>
      <w:proofErr w:type="spellEnd"/>
      <w:r>
        <w:rPr>
          <w:vertAlign w:val="subscript"/>
        </w:rPr>
        <w:t>.</w:t>
      </w:r>
    </w:p>
    <w:p w14:paraId="5B2A785B" w14:textId="13D53FE6" w:rsidR="009026DE" w:rsidRPr="00267C17" w:rsidRDefault="009026DE" w:rsidP="00523236">
      <w:pPr>
        <w:pStyle w:val="BodyText"/>
        <w:spacing w:line="360" w:lineRule="auto"/>
        <w:jc w:val="both"/>
      </w:pPr>
      <w:r w:rsidRPr="00267C17">
        <w:t xml:space="preserve">Analysis of the </w:t>
      </w:r>
      <w:r w:rsidR="00523236">
        <w:t xml:space="preserve">linearized </w:t>
      </w:r>
      <w:r w:rsidR="00351FF8" w:rsidRPr="00267C17">
        <w:t xml:space="preserve">kinetic-model fits </w:t>
      </w:r>
      <w:r w:rsidRPr="00267C17">
        <w:t>and their corresponding residual distributions</w:t>
      </w:r>
      <w:r w:rsidR="00C04578" w:rsidRPr="00267C17">
        <w:t xml:space="preserve"> (</w:t>
      </w:r>
      <w:r w:rsidR="001B28D8">
        <w:fldChar w:fldCharType="begin"/>
      </w:r>
      <w:r w:rsidR="001B28D8">
        <w:instrText xml:space="preserve"> REF _Ref230941347 \h </w:instrText>
      </w:r>
      <w:r w:rsidR="001B28D8">
        <w:fldChar w:fldCharType="separate"/>
      </w:r>
      <w:r w:rsidR="00A27D86">
        <w:t xml:space="preserve">Figure </w:t>
      </w:r>
      <w:r w:rsidR="00A27D86">
        <w:rPr>
          <w:noProof/>
        </w:rPr>
        <w:t>1</w:t>
      </w:r>
      <w:r w:rsidR="001B28D8">
        <w:fldChar w:fldCharType="end"/>
      </w:r>
      <w:r w:rsidR="001B28D8">
        <w:t xml:space="preserve"> and </w:t>
      </w:r>
      <w:r w:rsidR="00F57AFC">
        <w:fldChar w:fldCharType="begin"/>
      </w:r>
      <w:r w:rsidR="00F57AFC">
        <w:instrText xml:space="preserve"> REF _Ref231482491 \h </w:instrText>
      </w:r>
      <w:r w:rsidR="00F57AFC">
        <w:fldChar w:fldCharType="separate"/>
      </w:r>
      <w:proofErr w:type="spellStart"/>
      <w:r w:rsidR="00A27D86">
        <w:t>FigureS</w:t>
      </w:r>
      <w:proofErr w:type="spellEnd"/>
      <w:r w:rsidR="00A27D86">
        <w:t xml:space="preserve"> </w:t>
      </w:r>
      <w:r w:rsidR="00A27D86">
        <w:rPr>
          <w:noProof/>
        </w:rPr>
        <w:t>1</w:t>
      </w:r>
      <w:r w:rsidR="00F57AFC">
        <w:fldChar w:fldCharType="end"/>
      </w:r>
      <w:r w:rsidR="00C04578" w:rsidRPr="00267C17">
        <w:t>)</w:t>
      </w:r>
      <w:r w:rsidRPr="00267C17">
        <w:t xml:space="preserve"> demonstrates that each applied model captures significant aspects of the carbonation behavior, although their mechanistic implications differ. The </w:t>
      </w:r>
      <w:proofErr w:type="spellStart"/>
      <w:r w:rsidRPr="00267C17">
        <w:t>Avrami</w:t>
      </w:r>
      <w:proofErr w:type="spellEnd"/>
      <w:r w:rsidRPr="00267C17">
        <w:t xml:space="preserve"> model</w:t>
      </w:r>
      <w:r w:rsidR="00C04578" w:rsidRPr="00267C17">
        <w:t xml:space="preserve"> (</w:t>
      </w:r>
      <w:r w:rsidR="00F57AFC">
        <w:fldChar w:fldCharType="begin"/>
      </w:r>
      <w:r w:rsidR="00F57AFC">
        <w:instrText xml:space="preserve"> REF _Ref230941347 \h </w:instrText>
      </w:r>
      <w:r w:rsidR="00F57AFC">
        <w:fldChar w:fldCharType="separate"/>
      </w:r>
      <w:r w:rsidR="00A27D86">
        <w:t xml:space="preserve">Figure </w:t>
      </w:r>
      <w:r w:rsidR="00A27D86">
        <w:rPr>
          <w:noProof/>
        </w:rPr>
        <w:t>1</w:t>
      </w:r>
      <w:r w:rsidR="00F57AFC">
        <w:fldChar w:fldCharType="end"/>
      </w:r>
      <w:r w:rsidR="00C04578" w:rsidRPr="00267C17">
        <w:t xml:space="preserve">- </w:t>
      </w:r>
      <w:r w:rsidR="00A2130D">
        <w:t>b</w:t>
      </w:r>
      <w:r w:rsidR="00C04578" w:rsidRPr="00267C17">
        <w:t>)</w:t>
      </w:r>
      <w:r w:rsidRPr="00267C17">
        <w:t xml:space="preserve"> aligns well with experimental data across the entire investigated temperature range, indicating that the overall transformation behavior of wollastonite carbonation can be consistently described by an </w:t>
      </w:r>
      <w:proofErr w:type="spellStart"/>
      <w:r w:rsidRPr="00267C17">
        <w:t>Avrami</w:t>
      </w:r>
      <w:proofErr w:type="spellEnd"/>
      <w:r w:rsidRPr="00267C17">
        <w:t xml:space="preserve">-type relationship. This finding implies that nucleation and growth processes contribute to carbonate formation at all studied temperatures. This interpretation is physically plausible, as carbonation in this system involves dissolution of the silicate phase, release of calcium species into solution, and subsequent formation and growth of a new carbonate product phase. Therefore, the </w:t>
      </w:r>
      <w:proofErr w:type="spellStart"/>
      <w:r w:rsidRPr="00267C17">
        <w:t>Avrami</w:t>
      </w:r>
      <w:proofErr w:type="spellEnd"/>
      <w:r w:rsidRPr="00267C17">
        <w:t xml:space="preserve"> analysis </w:t>
      </w:r>
      <w:r w:rsidR="005A42C3">
        <w:t>indicates</w:t>
      </w:r>
      <w:r w:rsidRPr="00267C17">
        <w:t xml:space="preserve"> that phase-transformation behavior is a persistent feature of the reaction pathway throughout the investigated temperature range.</w:t>
      </w:r>
      <w:r w:rsidR="00523236" w:rsidRPr="00523236">
        <w:t xml:space="preserve"> The associated schematic is included as a conceptual illustration of this transformation behavior.</w:t>
      </w:r>
    </w:p>
    <w:p w14:paraId="5AAD7BA3" w14:textId="5881A96B" w:rsidR="009026DE" w:rsidRPr="00267C17" w:rsidRDefault="009026DE" w:rsidP="009026DE">
      <w:pPr>
        <w:pStyle w:val="BodyText"/>
        <w:spacing w:line="360" w:lineRule="auto"/>
        <w:jc w:val="both"/>
      </w:pPr>
      <w:r w:rsidRPr="00267C17">
        <w:t xml:space="preserve">Although the </w:t>
      </w:r>
      <w:proofErr w:type="spellStart"/>
      <w:r w:rsidRPr="00267C17">
        <w:t>Avrami</w:t>
      </w:r>
      <w:proofErr w:type="spellEnd"/>
      <w:r w:rsidRPr="00267C17">
        <w:t xml:space="preserve"> model offers a comprehensive description of the overall carbonation process, it is less effective for pinpointing the specific step that controls the reaction rate. Consequently, the shrinking-core model analysis is particularly valuable, as it enables interpretation of the kinetic response in terms of either interfacial chemical reaction control or diffusion through a product layer. Thus, the </w:t>
      </w:r>
      <w:proofErr w:type="spellStart"/>
      <w:r w:rsidRPr="00267C17">
        <w:t>Avrami</w:t>
      </w:r>
      <w:proofErr w:type="spellEnd"/>
      <w:r w:rsidRPr="00267C17">
        <w:t xml:space="preserve"> model and the shrinking-core formulations should be regarded as complementary: the </w:t>
      </w:r>
      <w:proofErr w:type="spellStart"/>
      <w:r w:rsidRPr="00267C17">
        <w:t>Avrami</w:t>
      </w:r>
      <w:proofErr w:type="spellEnd"/>
      <w:r w:rsidRPr="00267C17">
        <w:t xml:space="preserve"> model characterizes the transformation behavior of carbonate formation, while the shrinking-core models help identify the dominant transport or reaction limitation influencing the observed conversion profile.</w:t>
      </w:r>
    </w:p>
    <w:p w14:paraId="0D55EFAC" w14:textId="1EBFA89C" w:rsidR="009026DE" w:rsidRPr="00267C17" w:rsidRDefault="009026DE" w:rsidP="00D54440">
      <w:pPr>
        <w:pStyle w:val="BodyText"/>
        <w:spacing w:line="360" w:lineRule="auto"/>
        <w:jc w:val="both"/>
      </w:pPr>
      <w:r w:rsidRPr="00267C17">
        <w:t>Of the two shrinking-core models</w:t>
      </w:r>
      <w:r w:rsidR="00DD7DA0" w:rsidRPr="00267C17">
        <w:t xml:space="preserve"> (</w:t>
      </w:r>
      <w:r w:rsidR="00A2130D">
        <w:fldChar w:fldCharType="begin"/>
      </w:r>
      <w:r w:rsidR="00A2130D">
        <w:instrText xml:space="preserve"> REF _Ref230941347 \h </w:instrText>
      </w:r>
      <w:r w:rsidR="00A2130D">
        <w:fldChar w:fldCharType="separate"/>
      </w:r>
      <w:r w:rsidR="00A27D86">
        <w:t xml:space="preserve">Figure </w:t>
      </w:r>
      <w:r w:rsidR="00A27D86">
        <w:rPr>
          <w:noProof/>
        </w:rPr>
        <w:t>1</w:t>
      </w:r>
      <w:r w:rsidR="00A2130D">
        <w:fldChar w:fldCharType="end"/>
      </w:r>
      <w:r w:rsidR="00DD7DA0" w:rsidRPr="00267C17">
        <w:t xml:space="preserve">– </w:t>
      </w:r>
      <w:proofErr w:type="spellStart"/>
      <w:proofErr w:type="gramStart"/>
      <w:r w:rsidR="00A2130D">
        <w:t>c</w:t>
      </w:r>
      <w:r w:rsidR="00DD7DA0" w:rsidRPr="00267C17">
        <w:t>,</w:t>
      </w:r>
      <w:r w:rsidR="00A2130D">
        <w:t>d</w:t>
      </w:r>
      <w:proofErr w:type="spellEnd"/>
      <w:proofErr w:type="gramEnd"/>
      <w:r w:rsidR="00DD7DA0" w:rsidRPr="00267C17">
        <w:t>)</w:t>
      </w:r>
      <w:r w:rsidRPr="00267C17">
        <w:t>, the diffusion-controlled model most consistently describes the carbonation data between 25</w:t>
      </w:r>
      <w:r w:rsidR="007039CD" w:rsidRPr="00267C17">
        <w:t>°C</w:t>
      </w:r>
      <w:r w:rsidRPr="00267C17">
        <w:t xml:space="preserve"> and 75°C. In this temperature range, the transformed data exhibit strong linearity, and the corresponding residuals are distributed evenly around zero, indicating that diffusion-related resistance is a major factor </w:t>
      </w:r>
      <w:r w:rsidRPr="00267C17">
        <w:lastRenderedPageBreak/>
        <w:t xml:space="preserve">in determining the overall reaction rate. This observation aligns with the expected behavior of a heterogeneous aqueous carbonation system. As wollastonite dissolves and carbonate precipitation occurs, solid reaction products accumulate at or near the particle surface. The formation and growth of these layers impede the transport of dissolved carbonate species and calcium-bearing ions between the bulk solution and the unreacted mineral core. </w:t>
      </w:r>
    </w:p>
    <w:p w14:paraId="69E7C135" w14:textId="69592AD2" w:rsidR="009026DE" w:rsidRPr="00267C17" w:rsidRDefault="009026DE" w:rsidP="009026DE">
      <w:pPr>
        <w:pStyle w:val="BodyText"/>
        <w:spacing w:line="360" w:lineRule="auto"/>
        <w:jc w:val="both"/>
      </w:pPr>
      <w:r w:rsidRPr="00267C17">
        <w:t>The predominance of diffusion-controlled behavior at</w:t>
      </w:r>
      <w:r w:rsidR="00A92201">
        <w:t xml:space="preserve"> </w:t>
      </w:r>
      <w:r w:rsidRPr="00267C17">
        <w:t xml:space="preserve">intermediate temperatures is consistent with the multiphase nature of the carbonation process. Under these conditions, the rates of mineral dissolution, species transport, and carbonate precipitation are balanced such that the accumulation of solid products significantly influences the progression of the reaction. After the initial reaction at the mineral surface, continued carbonation increasingly relies on the migration of reactive species through the product layer. The </w:t>
      </w:r>
      <w:r w:rsidR="005A42C3">
        <w:t>better</w:t>
      </w:r>
      <w:r w:rsidRPr="00267C17">
        <w:t xml:space="preserve"> fit of the diffusion-controlled shrinking-core model between 25</w:t>
      </w:r>
      <w:r w:rsidR="00EA6FEC" w:rsidRPr="00267C17">
        <w:t>°C</w:t>
      </w:r>
      <w:r w:rsidRPr="00267C17">
        <w:t xml:space="preserve"> and 75°C therefore indicates that product-layer resistance </w:t>
      </w:r>
      <w:r w:rsidR="005A42C3">
        <w:t>might be</w:t>
      </w:r>
      <w:r w:rsidRPr="00267C17">
        <w:t xml:space="preserve"> a major kinetic limitation within this temperature range.</w:t>
      </w:r>
    </w:p>
    <w:p w14:paraId="4BF0BBD1" w14:textId="0C13B00A" w:rsidR="009026DE" w:rsidRPr="00267C17" w:rsidRDefault="009026DE" w:rsidP="009026DE">
      <w:pPr>
        <w:pStyle w:val="BodyText"/>
        <w:spacing w:line="360" w:lineRule="auto"/>
        <w:jc w:val="both"/>
      </w:pPr>
      <w:r w:rsidRPr="00267C17">
        <w:t xml:space="preserve">At 90°C, the fitting behavior changes. While the diffusion-controlled shrinking-core model </w:t>
      </w:r>
      <w:r w:rsidR="00DD7DA0" w:rsidRPr="00267C17">
        <w:t>(</w:t>
      </w:r>
      <w:r w:rsidR="00A2130D">
        <w:fldChar w:fldCharType="begin"/>
      </w:r>
      <w:r w:rsidR="00A2130D">
        <w:instrText xml:space="preserve"> REF _Ref230941347 \h </w:instrText>
      </w:r>
      <w:r w:rsidR="00A2130D">
        <w:fldChar w:fldCharType="separate"/>
      </w:r>
      <w:r w:rsidR="00A27D86">
        <w:t xml:space="preserve">Figure </w:t>
      </w:r>
      <w:r w:rsidR="00A27D86">
        <w:rPr>
          <w:noProof/>
        </w:rPr>
        <w:t>1</w:t>
      </w:r>
      <w:r w:rsidR="00A2130D">
        <w:fldChar w:fldCharType="end"/>
      </w:r>
      <w:r w:rsidR="00DD7DA0" w:rsidRPr="00267C17">
        <w:t xml:space="preserve">- </w:t>
      </w:r>
      <w:r w:rsidR="00A2130D">
        <w:t>d</w:t>
      </w:r>
      <w:r w:rsidR="00DD7DA0" w:rsidRPr="00267C17">
        <w:t>)</w:t>
      </w:r>
      <w:r w:rsidR="007039CD" w:rsidRPr="00267C17">
        <w:t xml:space="preserve"> </w:t>
      </w:r>
      <w:r w:rsidRPr="00267C17">
        <w:t>still provides a relatively high apparent fit quality</w:t>
      </w:r>
      <w:r w:rsidR="005A42C3">
        <w:t>;</w:t>
      </w:r>
      <w:r w:rsidRPr="00267C17">
        <w:t xml:space="preserve"> the residual distribution exhibits more systematic deviation, indicating that diffusion alone does not adequately describe the reaction profile at this temperature</w:t>
      </w:r>
      <w:r w:rsidR="00DD7DA0" w:rsidRPr="00267C17">
        <w:t>.</w:t>
      </w:r>
      <w:r w:rsidRPr="00267C17">
        <w:t xml:space="preserve"> In contrast, the chemical-reaction-controlled shrinking-core model</w:t>
      </w:r>
      <w:r w:rsidR="00DD7DA0" w:rsidRPr="00267C17">
        <w:t xml:space="preserve"> (</w:t>
      </w:r>
      <w:r w:rsidR="00A2130D">
        <w:fldChar w:fldCharType="begin"/>
      </w:r>
      <w:r w:rsidR="00A2130D">
        <w:instrText xml:space="preserve"> REF _Ref230941347 \h </w:instrText>
      </w:r>
      <w:r w:rsidR="00A2130D">
        <w:fldChar w:fldCharType="separate"/>
      </w:r>
      <w:r w:rsidR="00A27D86">
        <w:t xml:space="preserve">Figure </w:t>
      </w:r>
      <w:r w:rsidR="00A27D86">
        <w:rPr>
          <w:noProof/>
        </w:rPr>
        <w:t>1</w:t>
      </w:r>
      <w:r w:rsidR="00A2130D">
        <w:fldChar w:fldCharType="end"/>
      </w:r>
      <w:r w:rsidR="00DD7DA0" w:rsidRPr="00267C17">
        <w:t xml:space="preserve">- </w:t>
      </w:r>
      <w:r w:rsidR="00A2130D">
        <w:t>c</w:t>
      </w:r>
      <w:r w:rsidR="00DD7DA0" w:rsidRPr="00267C17">
        <w:t>)</w:t>
      </w:r>
      <w:r w:rsidRPr="00267C17">
        <w:t xml:space="preserve"> demonstrates improved agreement, suggesting that the interfacial chemical reaction becomes more influential at 90°C. This finding indicates a temperature-dependent shift in the dominant apparent rate-controlling mechanism. Such a shift is chemically plausible, as increasing temperature accelerates several kinetically favorable steps, including wollastonite dissolution, ionic mobility, and surface reaction kinetics. Although CO₂ solubility in water decreases with increasing temperature, the observed increase in carbonation conversion suggests that the acceleration of solid–liquid reaction steps </w:t>
      </w:r>
      <w:proofErr w:type="gramStart"/>
      <w:r w:rsidR="00D4224B">
        <w:t>compensates</w:t>
      </w:r>
      <w:proofErr w:type="gramEnd"/>
      <w:r w:rsidRPr="00267C17">
        <w:t xml:space="preserve"> for the reduced dissolved CO₂ availability. Under these conditions, diffusion-related constraints become less dominant, and the interfacial reaction step exerts a greater influence on the overall rate.</w:t>
      </w:r>
    </w:p>
    <w:p w14:paraId="65AFB9A2" w14:textId="0F883B19" w:rsidR="009026DE" w:rsidRPr="00267C17" w:rsidRDefault="009026DE" w:rsidP="009026DE">
      <w:pPr>
        <w:pStyle w:val="BodyText"/>
        <w:spacing w:line="360" w:lineRule="auto"/>
        <w:jc w:val="both"/>
      </w:pPr>
      <w:r w:rsidRPr="00267C17">
        <w:t xml:space="preserve">The broad applicability of the </w:t>
      </w:r>
      <w:proofErr w:type="spellStart"/>
      <w:r w:rsidRPr="00267C17">
        <w:t>Avrami</w:t>
      </w:r>
      <w:proofErr w:type="spellEnd"/>
      <w:r w:rsidRPr="00267C17">
        <w:t xml:space="preserve"> model across the full temperature range underscores that wet wollastonite carbonation should not be interpreted solely as an ideal shrinking-core process. Instead, the reaction pathway results from the combined effects of mineral </w:t>
      </w:r>
      <w:r w:rsidRPr="00267C17">
        <w:lastRenderedPageBreak/>
        <w:t xml:space="preserve">dissolution, species transport, and carbonate precipitation, with the product phase forming through nucleation and subsequent crystal growth. In this context, the shrinking-core models are valuable for identifying the dominant apparent kinetic limitation, while the </w:t>
      </w:r>
      <w:proofErr w:type="spellStart"/>
      <w:r w:rsidRPr="00267C17">
        <w:t>Avrami</w:t>
      </w:r>
      <w:proofErr w:type="spellEnd"/>
      <w:r w:rsidRPr="00267C17">
        <w:t xml:space="preserve"> model captures the transformation character of carbonate formation. Thus, the carbonation kinetics of wollastonite under wet conditions should be understood as the outcome of overlapping, temperature-dependent processes rather than a single mechanistic step.</w:t>
      </w:r>
    </w:p>
    <w:p w14:paraId="676EE9BF" w14:textId="2C79E66F" w:rsidR="00C04578" w:rsidRDefault="009026DE" w:rsidP="00D45ACF">
      <w:pPr>
        <w:pStyle w:val="BodyText"/>
        <w:spacing w:line="360" w:lineRule="auto"/>
        <w:jc w:val="both"/>
      </w:pPr>
      <w:r w:rsidRPr="00267C17">
        <w:t>In summary, evaluation of the linearized fits and residual patterns indicates that the diffusion-controlled shrinking-core model most accurately describes the carbonation behavior between 25</w:t>
      </w:r>
      <w:r w:rsidR="00EA6FEC" w:rsidRPr="00267C17">
        <w:t>°C</w:t>
      </w:r>
      <w:r w:rsidRPr="00267C17">
        <w:t xml:space="preserve"> and 75°C, whereas at 90</w:t>
      </w:r>
      <w:r w:rsidR="00FB5D04">
        <w:t>°</w:t>
      </w:r>
      <w:r w:rsidRPr="00267C17">
        <w:t xml:space="preserve">C, the chemical-reaction-controlled shrinking-core model is more appropriate. Simultaneously, the </w:t>
      </w:r>
      <w:proofErr w:type="spellStart"/>
      <w:r w:rsidRPr="00267C17">
        <w:t>Avrami</w:t>
      </w:r>
      <w:proofErr w:type="spellEnd"/>
      <w:r w:rsidRPr="00267C17">
        <w:t xml:space="preserve"> model remains applicable across the entire temperature range and highlights the ongoing significance of nucleation-and-growth processes in carbonate formation. Collectively, these findings demonstrate that wet wollastonite carbonation exhibits a temperature-dependent evolution in apparent kinetic control, while maintaining an overall transformation behavior consistent with progressive phase formation. This analysis provides a robust basis for interpreting the extracted kinetic parameters and for conducting subsequent Arrhenius analysis</w:t>
      </w:r>
      <w:r w:rsidR="00D45ACF">
        <w:t>.</w:t>
      </w:r>
    </w:p>
    <w:p w14:paraId="1EEAD591" w14:textId="77777777" w:rsidR="00002E76" w:rsidRDefault="00002E76" w:rsidP="00234946">
      <w:pPr>
        <w:pStyle w:val="BodyText"/>
        <w:spacing w:line="360" w:lineRule="auto"/>
        <w:jc w:val="center"/>
        <w:rPr>
          <w:noProof/>
        </w:rPr>
      </w:pPr>
    </w:p>
    <w:p w14:paraId="000A849A" w14:textId="290D993B" w:rsidR="00234946" w:rsidRDefault="00234946" w:rsidP="0043115C">
      <w:pPr>
        <w:pStyle w:val="BodyText"/>
        <w:spacing w:line="360" w:lineRule="auto"/>
      </w:pPr>
    </w:p>
    <w:p w14:paraId="526670CB" w14:textId="7B69D11B" w:rsidR="002C5843" w:rsidRPr="00267C17" w:rsidRDefault="00EA1F37" w:rsidP="00D42599">
      <w:pPr>
        <w:pStyle w:val="BodyText"/>
      </w:pPr>
      <w:r>
        <w:rPr>
          <w:noProof/>
        </w:rPr>
        <w:lastRenderedPageBreak/>
        <w:drawing>
          <wp:inline distT="0" distB="0" distL="0" distR="0" wp14:anchorId="2587F711" wp14:editId="12D5878C">
            <wp:extent cx="5972810" cy="581533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72810" cy="5815330"/>
                    </a:xfrm>
                    <a:prstGeom prst="rect">
                      <a:avLst/>
                    </a:prstGeom>
                  </pic:spPr>
                </pic:pic>
              </a:graphicData>
            </a:graphic>
          </wp:inline>
        </w:drawing>
      </w:r>
    </w:p>
    <w:p w14:paraId="15FCDE90" w14:textId="77777777" w:rsidR="002C5843" w:rsidRPr="00267C17" w:rsidRDefault="002C5843" w:rsidP="001E67E4">
      <w:pPr>
        <w:pStyle w:val="BodyText"/>
        <w:jc w:val="center"/>
      </w:pPr>
    </w:p>
    <w:p w14:paraId="6F905ADD" w14:textId="31AA4595" w:rsidR="00D45ACF" w:rsidRPr="00267C17" w:rsidRDefault="001E67E4" w:rsidP="00185C77">
      <w:pPr>
        <w:pStyle w:val="Caption"/>
        <w:jc w:val="center"/>
        <w:rPr>
          <w:rFonts w:ascii="Calibri" w:eastAsia="Times New Roman" w:hAnsi="Calibri" w:cs="Times New Roman"/>
          <w:b/>
          <w:bCs/>
          <w:sz w:val="28"/>
          <w:szCs w:val="28"/>
        </w:rPr>
      </w:pPr>
      <w:bookmarkStart w:id="4" w:name="_Ref230941347"/>
      <w:r>
        <w:t xml:space="preserve">Figure </w:t>
      </w:r>
      <w:r>
        <w:fldChar w:fldCharType="begin"/>
      </w:r>
      <w:r>
        <w:instrText xml:space="preserve"> SEQ Figure \* ARABIC </w:instrText>
      </w:r>
      <w:r>
        <w:fldChar w:fldCharType="separate"/>
      </w:r>
      <w:r w:rsidR="00A27D86">
        <w:rPr>
          <w:noProof/>
        </w:rPr>
        <w:t>1</w:t>
      </w:r>
      <w:r>
        <w:fldChar w:fldCharType="end"/>
      </w:r>
      <w:bookmarkEnd w:id="4"/>
      <w:r w:rsidRPr="001E67E4">
        <w:rPr>
          <w:rFonts w:ascii="Times New Roman" w:eastAsia="Times New Roman" w:hAnsi="Times New Roman" w:cs="Times New Roman"/>
        </w:rPr>
        <w:t xml:space="preserve"> </w:t>
      </w:r>
      <w:r w:rsidRPr="001E67E4">
        <w:t>Experimental conversion profiles and corresponding linearized kinetic-model fits for wet wollastonite carbonation at 25°C, 45°C, 60°C, 75°C, and 90°C: (a) time-dependent conversion (X), (b</w:t>
      </w:r>
      <w:r w:rsidR="00185C77">
        <w:t>)</w:t>
      </w:r>
      <w:proofErr w:type="spellStart"/>
      <w:r w:rsidR="00185C77" w:rsidRPr="00185C77">
        <w:t>Avrami</w:t>
      </w:r>
      <w:proofErr w:type="spellEnd"/>
      <w:r w:rsidR="00185C77" w:rsidRPr="00185C77">
        <w:t xml:space="preserve"> model, representing nucleation-and-growth-type transformation;</w:t>
      </w:r>
      <w:r w:rsidRPr="001E67E4">
        <w:t xml:space="preserve">(c) </w:t>
      </w:r>
      <w:r w:rsidR="00185C77" w:rsidRPr="00185C77">
        <w:t>SCM surface chemical reaction control, representing interfacial reaction at the unreacted core</w:t>
      </w:r>
      <w:r w:rsidRPr="001E67E4">
        <w:t xml:space="preserve">, and (d) </w:t>
      </w:r>
      <w:r w:rsidR="00185C77" w:rsidRPr="00185C77">
        <w:t>SCM diffusion-control model, representing transport through the developing product layer. The schematics on the right illustrate the corresponding conceptual carbonation pathways, including progressive carbonate formation, interface-controlled reaction, and diffusion through a product layer. Together, the figure links the experimental carbonation behavior with the kinetic-model interpretations used to describe the evolution of the reaction mechanism.</w:t>
      </w:r>
    </w:p>
    <w:p w14:paraId="36622E20" w14:textId="77777777" w:rsidR="00D45ACF" w:rsidRPr="00267C17" w:rsidRDefault="00D45ACF" w:rsidP="00FA481B">
      <w:pPr>
        <w:pStyle w:val="Caption"/>
        <w:jc w:val="center"/>
      </w:pPr>
    </w:p>
    <w:p w14:paraId="0B10AD2A" w14:textId="73D7F340" w:rsidR="006D3CE9" w:rsidRPr="00267C17" w:rsidRDefault="00835E3F" w:rsidP="00860FBB">
      <w:pPr>
        <w:pStyle w:val="Heading2"/>
        <w:rPr>
          <w:color w:val="auto"/>
        </w:rPr>
      </w:pPr>
      <w:r w:rsidRPr="00267C17">
        <w:rPr>
          <w:color w:val="auto"/>
        </w:rPr>
        <w:lastRenderedPageBreak/>
        <w:t>Arrhenius-type analysis &amp; Apparent rate control and possible regime shift</w:t>
      </w:r>
    </w:p>
    <w:p w14:paraId="016E4F6C" w14:textId="3D63ACD6" w:rsidR="00173308" w:rsidRDefault="00173308" w:rsidP="00173308">
      <w:pPr>
        <w:pStyle w:val="BodyText"/>
        <w:spacing w:line="360" w:lineRule="auto"/>
        <w:jc w:val="both"/>
      </w:pPr>
      <w:r w:rsidRPr="00173308">
        <w:t xml:space="preserve">To further assess the influence of temperature on wet wollastonite carbonation, Arrhenius analyses were conducted using kinetic parameters derived independently from the </w:t>
      </w:r>
      <w:proofErr w:type="spellStart"/>
      <w:r w:rsidRPr="00173308">
        <w:t>Avrami</w:t>
      </w:r>
      <w:proofErr w:type="spellEnd"/>
      <w:r w:rsidRPr="00173308">
        <w:t>, SCM surface-reaction, and SCM diffusion models. The corresponding kinetic constants, regression statistics, and detailed activation-energy calculations are provided in the Supporting Information (Tables S5–S</w:t>
      </w:r>
      <w:r>
        <w:t>6</w:t>
      </w:r>
      <w:r w:rsidRPr="00173308">
        <w:t xml:space="preserve">). </w:t>
      </w:r>
    </w:p>
    <w:p w14:paraId="24CB9E8F" w14:textId="1F50FFB4" w:rsidR="00862F50" w:rsidRDefault="00173308" w:rsidP="00173308">
      <w:pPr>
        <w:pStyle w:val="BodyText"/>
        <w:spacing w:line="360" w:lineRule="auto"/>
        <w:jc w:val="both"/>
      </w:pPr>
      <w:r w:rsidRPr="00173308">
        <w:t>The Arrhenius equation is widely employed to describe the temperature dependence of reaction rate constants</w:t>
      </w:r>
      <w:r>
        <w:t xml:space="preserve"> </w:t>
      </w:r>
      <w:r w:rsidR="0067669D">
        <w:fldChar w:fldCharType="begin"/>
      </w:r>
      <w:r w:rsidR="006E728E">
        <w:instrText xml:space="preserve"> ADDIN ZOTERO_ITEM CSL_CITATION {"citationID":"ZjU2ehwu","properties":{"unsorted":false,"formattedCitation":"[25\\uc0\\u8211{}27]","plainCitation":"[25–27]","noteIndex":0},"citationItems":[{"id":264,"uris":["http://zotero.org/users/local/CPEr2PVS/items/TWL36LHJ"],"itemData":{"id":264,"type":"article-journal","container-title":"ISIJ International","DOI":"10.2355/isijinternational.ISIJINT-2015-142","ISSN":"0915-1559, 1347-5460","issue":"11","journalAbbreviation":"ISIJ International","language":"en","page":"2509-2514","source":"DOI.org (Crossref)","title":"Aqueous Carbonation of Steel Slag: A Kinetics Study","title-short":"Aqueous Carbonation of Steel Slag","volume":"55","author":[{"family":"Tu","given":"Maoxia"},{"family":"Zhao","given":"Hongxin"},{"family":"Lei","given":"Ze"},{"family":"Wang","given":"Lina"},{"family":"Chen","given":"Desheng"},{"family":"Yu","given":"Hongdong"},{"family":"Qi","given":"Tao"}],"issued":{"date-parts":[["2015"]]}}},{"id":397,"uris":["http://zotero.org/users/local/CPEr2PVS/items/ZM7E5AU8"],"itemData":{"id":397,"type":"article-journal","abstract":"Article The Arrhenius Equation is Still a Useful Tool in Chemical Engineering was published on January 1, 2017 in the journal Nordic Pulp &amp; Paper Research Journal (volume 32, issue 1).","container-title":"Nordic Pulp &amp; Paper Research Journal","DOI":"10.3183/npprj-2017-32-01-p021-024","ISSN":"2000-0669","issue":"1","language":"en","license":"De Gruyter expressly reserves the right to use all content for commercial text and data mining within the meaning of Section 44b of the German Copyright Act.","page":"21-24","publisher":"De Gruyter","source":"www.degruyterbrill.com","title":"The Arrhenius Equation is Still a Useful Tool in Chemical Engineering","volume":"32","author":[{"family":"Germgård","given":"Ulf"}],"issued":{"date-parts":[["2017",1,1]]}}},{"id":399,"uris":["http://zotero.org/users/local/CPEr2PVS/items/34NENGSE"],"itemData":{"id":399,"type":"article-journal","abstract":"The objective of this review paper is to survey the phase transition kinetics with a focus on the temperature dependence of the rates of crystallization and melting, as well as on the activation energies of these processes obtained via the Arrhenius kinetic treatment, including the treatment by isoconversional methods. The literature is analyzed to track the development of the basic models and their underlying concepts. The review presents both theoretical and practical considerations regarding the kinetic analysis of crystallization and melting. Both processes are demonstrated to be kinetically complex, and this is revealed in the form of nonlinear Arrhenius plots and/or the variation of the activation energy with temperature. Principles which aid one to understand and interpret such results are discussed. An emphasis is also put on identifying proper computational methods and experimental data that can lead to meaningful kinetic interpretation.","container-title":"Polymers","DOI":"10.3390/polym12051070","ISSN":"2073-4360","issue":"5","journalAbbreviation":"Polymers","language":"en","page":"1070","source":"DOI.org (Crossref)","title":"Activation Energies and Temperature Dependencies of the Rates of Crystallization and Melting of Polymers","volume":"12","author":[{"family":"Vyazovkin","given":"Sergey"}],"issued":{"date-parts":[["2020",5,7]]}}}],"schema":"https://github.com/citation-style-language/schema/raw/master/csl-citation.json"} </w:instrText>
      </w:r>
      <w:r w:rsidR="0067669D">
        <w:fldChar w:fldCharType="separate"/>
      </w:r>
      <w:r w:rsidR="006E728E" w:rsidRPr="006E728E">
        <w:rPr>
          <w:rFonts w:cs="Times New Roman"/>
        </w:rPr>
        <w:t>[25–27]</w:t>
      </w:r>
      <w:r w:rsidR="0067669D">
        <w:fldChar w:fldCharType="end"/>
      </w:r>
      <w:r w:rsidR="00862F50" w:rsidRPr="00267C17">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55"/>
        <w:gridCol w:w="941"/>
      </w:tblGrid>
      <w:tr w:rsidR="006C5D51" w14:paraId="089BF82A" w14:textId="77777777" w:rsidTr="00211879">
        <w:tc>
          <w:tcPr>
            <w:tcW w:w="8455" w:type="dxa"/>
          </w:tcPr>
          <w:p w14:paraId="09D955FA" w14:textId="38B4F11A" w:rsidR="006C5D51" w:rsidRDefault="006C5D51" w:rsidP="006C5D51">
            <w:pPr>
              <w:pStyle w:val="BodyText"/>
              <w:spacing w:line="360" w:lineRule="auto"/>
            </w:pPr>
            <m:oMathPara>
              <m:oMath>
                <m:r>
                  <w:rPr>
                    <w:rFonts w:ascii="Cambria Math" w:hAnsi="Cambria Math"/>
                  </w:rPr>
                  <m:t>k=A·</m:t>
                </m:r>
                <m:sSup>
                  <m:sSupPr>
                    <m:ctrlPr>
                      <w:rPr>
                        <w:rFonts w:ascii="Cambria Math" w:hAnsi="Cambria Math"/>
                        <w:i/>
                      </w:rPr>
                    </m:ctrlPr>
                  </m:sSupPr>
                  <m:e>
                    <m:r>
                      <w:rPr>
                        <w:rFonts w:ascii="Cambria Math" w:hAnsi="Cambria Math"/>
                      </w:rPr>
                      <m:t>e</m:t>
                    </m:r>
                  </m:e>
                  <m:sup>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a</m:t>
                            </m:r>
                          </m:sub>
                        </m:sSub>
                      </m:num>
                      <m:den>
                        <m:r>
                          <w:rPr>
                            <w:rFonts w:ascii="Cambria Math" w:hAnsi="Cambria Math"/>
                          </w:rPr>
                          <m:t>RT</m:t>
                        </m:r>
                      </m:den>
                    </m:f>
                    <m:r>
                      <w:rPr>
                        <w:rFonts w:ascii="Cambria Math" w:hAnsi="Cambria Math"/>
                      </w:rPr>
                      <m:t>)</m:t>
                    </m:r>
                  </m:sup>
                </m:sSup>
              </m:oMath>
            </m:oMathPara>
          </w:p>
        </w:tc>
        <w:tc>
          <w:tcPr>
            <w:tcW w:w="941" w:type="dxa"/>
          </w:tcPr>
          <w:p w14:paraId="71C4090C" w14:textId="4577D081" w:rsidR="006C5D51" w:rsidRDefault="006C5D51" w:rsidP="0067669D">
            <w:pPr>
              <w:pStyle w:val="BodyText"/>
              <w:spacing w:line="360" w:lineRule="auto"/>
              <w:jc w:val="both"/>
            </w:pPr>
            <w:r>
              <w:t>(</w:t>
            </w:r>
            <w:r>
              <w:fldChar w:fldCharType="begin"/>
            </w:r>
            <w:r>
              <w:instrText xml:space="preserve"> seq eq </w:instrText>
            </w:r>
            <w:r>
              <w:fldChar w:fldCharType="separate"/>
            </w:r>
            <w:r>
              <w:rPr>
                <w:noProof/>
              </w:rPr>
              <w:t>9</w:t>
            </w:r>
            <w:r>
              <w:fldChar w:fldCharType="end"/>
            </w:r>
            <w:r>
              <w:t>)</w:t>
            </w:r>
          </w:p>
        </w:tc>
      </w:tr>
    </w:tbl>
    <w:p w14:paraId="249A27FB" w14:textId="172B0686" w:rsidR="00862F50" w:rsidRDefault="00862F50" w:rsidP="00862F50">
      <w:pPr>
        <w:pStyle w:val="BodyText"/>
        <w:spacing w:line="360" w:lineRule="auto"/>
        <w:jc w:val="both"/>
      </w:pPr>
      <w:r w:rsidRPr="00267C17">
        <w:t xml:space="preserve">where </w:t>
      </w:r>
      <w:r w:rsidRPr="0075043D">
        <w:rPr>
          <w:i/>
        </w:rPr>
        <w:t>k</w:t>
      </w:r>
      <w:r w:rsidRPr="00267C17">
        <w:t xml:space="preserve"> is the rate constant, </w:t>
      </w:r>
      <w:r w:rsidRPr="0075043D">
        <w:rPr>
          <w:i/>
        </w:rPr>
        <w:t>A</w:t>
      </w:r>
      <w:r w:rsidRPr="00267C17">
        <w:t xml:space="preserve"> is the pre-exponential factor, </w:t>
      </w:r>
      <w:proofErr w:type="spellStart"/>
      <w:r w:rsidRPr="0075043D">
        <w:rPr>
          <w:i/>
        </w:rPr>
        <w:t>E</w:t>
      </w:r>
      <w:r w:rsidRPr="0075043D">
        <w:rPr>
          <w:vertAlign w:val="subscript"/>
        </w:rPr>
        <w:t>a</w:t>
      </w:r>
      <w:proofErr w:type="spellEnd"/>
      <w:r w:rsidRPr="00267C17">
        <w:t xml:space="preserve"> is the activation energy, R is the universal gas constant, and </w:t>
      </w:r>
      <w:r w:rsidRPr="0075043D">
        <w:rPr>
          <w:i/>
        </w:rPr>
        <w:t>T</w:t>
      </w:r>
      <w:r w:rsidRPr="00267C17">
        <w:t xml:space="preserve"> is the absolute temperature in </w:t>
      </w:r>
      <w:r w:rsidR="003A2E0B">
        <w:t>K</w:t>
      </w:r>
      <w:r w:rsidR="003A2E0B" w:rsidRPr="00267C17">
        <w:t>elvin</w:t>
      </w:r>
      <w:r w:rsidRPr="00267C17">
        <w:t>. In its linearized form, the equation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55"/>
        <w:gridCol w:w="941"/>
      </w:tblGrid>
      <w:tr w:rsidR="006C5D51" w14:paraId="5ECCCC81" w14:textId="77777777" w:rsidTr="006C5D51">
        <w:tc>
          <w:tcPr>
            <w:tcW w:w="8455" w:type="dxa"/>
          </w:tcPr>
          <w:p w14:paraId="2A3BA5E9" w14:textId="553DCE78" w:rsidR="006C5D51" w:rsidRDefault="006C5D51" w:rsidP="006C5D51">
            <w:pPr>
              <w:pStyle w:val="BodyText"/>
              <w:spacing w:line="360" w:lineRule="auto"/>
            </w:pPr>
            <m:oMathPara>
              <m:oMath>
                <m:r>
                  <w:rPr>
                    <w:rFonts w:ascii="Cambria Math" w:hAnsi="Cambria Math"/>
                  </w:rPr>
                  <m:t>Lnk=LnA-</m:t>
                </m:r>
                <m:f>
                  <m:fPr>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a</m:t>
                        </m:r>
                      </m:sub>
                    </m:sSub>
                  </m:num>
                  <m:den>
                    <m:r>
                      <w:rPr>
                        <w:rFonts w:ascii="Cambria Math" w:hAnsi="Cambria Math"/>
                      </w:rPr>
                      <m:t>RT</m:t>
                    </m:r>
                  </m:den>
                </m:f>
              </m:oMath>
            </m:oMathPara>
          </w:p>
        </w:tc>
        <w:tc>
          <w:tcPr>
            <w:tcW w:w="941" w:type="dxa"/>
          </w:tcPr>
          <w:p w14:paraId="4D58B2B6" w14:textId="45BBEB47" w:rsidR="006C5D51" w:rsidRDefault="006C5D51" w:rsidP="00862F50">
            <w:pPr>
              <w:pStyle w:val="BodyText"/>
              <w:spacing w:line="360" w:lineRule="auto"/>
              <w:jc w:val="both"/>
            </w:pPr>
            <w:r>
              <w:t>(</w:t>
            </w:r>
            <w:r>
              <w:fldChar w:fldCharType="begin"/>
            </w:r>
            <w:r>
              <w:instrText xml:space="preserve"> seq eq </w:instrText>
            </w:r>
            <w:r>
              <w:fldChar w:fldCharType="separate"/>
            </w:r>
            <w:r>
              <w:rPr>
                <w:noProof/>
              </w:rPr>
              <w:t>10</w:t>
            </w:r>
            <w:r>
              <w:fldChar w:fldCharType="end"/>
            </w:r>
            <w:r>
              <w:t>)</w:t>
            </w:r>
          </w:p>
        </w:tc>
      </w:tr>
    </w:tbl>
    <w:p w14:paraId="1E147B09" w14:textId="68A6061D" w:rsidR="00862F50" w:rsidRPr="00267C17" w:rsidRDefault="00862F50" w:rsidP="00862F50">
      <w:pPr>
        <w:pStyle w:val="BodyText"/>
        <w:spacing w:line="360" w:lineRule="auto"/>
        <w:jc w:val="both"/>
      </w:pPr>
      <w:r w:rsidRPr="00267C17">
        <w:t xml:space="preserve">Therefore, plotting </w:t>
      </w:r>
      <w:proofErr w:type="spellStart"/>
      <w:r w:rsidRPr="00267C17">
        <w:t>ln</w:t>
      </w:r>
      <w:r w:rsidRPr="0075043D">
        <w:rPr>
          <w:i/>
        </w:rPr>
        <w:t>k</w:t>
      </w:r>
      <w:proofErr w:type="spellEnd"/>
      <w:r w:rsidRPr="00267C17">
        <w:t xml:space="preserve"> against 1/</w:t>
      </w:r>
      <w:r w:rsidRPr="0075043D">
        <w:rPr>
          <w:i/>
        </w:rPr>
        <w:t>T</w:t>
      </w:r>
      <w:r w:rsidRPr="00267C17">
        <w:t xml:space="preserve"> enables estimation of the activation energy from the slope of the fitted line.</w:t>
      </w:r>
    </w:p>
    <w:p w14:paraId="12C0D35A" w14:textId="715DE9C5" w:rsidR="00F03AA4" w:rsidRPr="00267C17" w:rsidRDefault="00862F50" w:rsidP="00F03AA4">
      <w:pPr>
        <w:pStyle w:val="BodyText"/>
        <w:spacing w:line="360" w:lineRule="auto"/>
        <w:jc w:val="both"/>
      </w:pPr>
      <w:r w:rsidRPr="00267C17">
        <w:t>The kinetic constants used in this analysis were obtained from the linearized forms of the applied models</w:t>
      </w:r>
      <w:r w:rsidR="006C5D51">
        <w:t xml:space="preserve"> (</w:t>
      </w:r>
      <w:proofErr w:type="spellStart"/>
      <w:r w:rsidR="006C5D51">
        <w:fldChar w:fldCharType="begin"/>
      </w:r>
      <w:r w:rsidR="006C5D51">
        <w:instrText xml:space="preserve"> REF _Ref231540361 \h </w:instrText>
      </w:r>
      <w:r w:rsidR="006C5D51">
        <w:fldChar w:fldCharType="separate"/>
      </w:r>
      <w:r w:rsidR="006C5D51">
        <w:t>TableS</w:t>
      </w:r>
      <w:proofErr w:type="spellEnd"/>
      <w:r w:rsidR="006C5D51">
        <w:t xml:space="preserve"> </w:t>
      </w:r>
      <w:r w:rsidR="006C5D51">
        <w:rPr>
          <w:noProof/>
        </w:rPr>
        <w:t>4</w:t>
      </w:r>
      <w:r w:rsidR="006C5D51">
        <w:fldChar w:fldCharType="end"/>
      </w:r>
      <w:r w:rsidR="006C5D51">
        <w:t>)</w:t>
      </w:r>
      <w:r w:rsidRPr="00267C17">
        <w:t xml:space="preserve">. </w:t>
      </w:r>
    </w:p>
    <w:p w14:paraId="30794BDA" w14:textId="38F41B45" w:rsidR="00862F50" w:rsidRDefault="00862F50" w:rsidP="005C4F30">
      <w:pPr>
        <w:pStyle w:val="BodyText"/>
        <w:spacing w:line="360" w:lineRule="auto"/>
        <w:jc w:val="both"/>
      </w:pPr>
      <w:r w:rsidRPr="00267C17">
        <w:t>​</w:t>
      </w:r>
      <w:r w:rsidR="00B7783F">
        <w:t xml:space="preserve"> </w:t>
      </w:r>
      <w:r w:rsidRPr="00267C17">
        <w:t xml:space="preserve">However, </w:t>
      </w:r>
      <w:r w:rsidR="005C4F30" w:rsidRPr="00267C17">
        <w:t xml:space="preserve">when </w:t>
      </w:r>
      <w:r w:rsidR="005C4F30" w:rsidRPr="0075043D">
        <w:rPr>
          <w:i/>
        </w:rPr>
        <w:t>n</w:t>
      </w:r>
      <w:r w:rsidR="005C4F30" w:rsidRPr="00267C17">
        <w:t xml:space="preserve"> varies with </w:t>
      </w:r>
      <w:proofErr w:type="gramStart"/>
      <w:r w:rsidR="005C4F30" w:rsidRPr="00267C17">
        <w:t xml:space="preserve">temperature </w:t>
      </w:r>
      <w:r w:rsidR="005C4F30" w:rsidRPr="005C4F30">
        <w:t>,</w:t>
      </w:r>
      <w:proofErr w:type="gramEnd"/>
      <w:r w:rsidR="005C4F30" w:rsidRPr="005C4F30">
        <w:t xml:space="preserve"> the </w:t>
      </w:r>
      <w:proofErr w:type="spellStart"/>
      <w:r w:rsidR="005C4F30" w:rsidRPr="005C4F30">
        <w:t>Avrami</w:t>
      </w:r>
      <w:proofErr w:type="spellEnd"/>
      <w:r w:rsidR="005C4F30" w:rsidRPr="005C4F30">
        <w:t xml:space="preserve"> </w:t>
      </w:r>
      <w:r w:rsidR="005C4F30" w:rsidRPr="00267C17">
        <w:t>rate constant</w:t>
      </w:r>
      <w:r w:rsidR="005C4F30" w:rsidRPr="005C4F30">
        <w:t xml:space="preserve"> ka​, which has units of </w:t>
      </w:r>
      <w:r w:rsidR="003A2E0B">
        <w:t>[</w:t>
      </w:r>
      <w:r w:rsidRPr="00267C17">
        <w:t>time</w:t>
      </w:r>
      <w:r w:rsidR="003A2E0B">
        <w:t>]</w:t>
      </w:r>
      <w:r w:rsidRPr="00267C17">
        <w:rPr>
          <w:vertAlign w:val="superscript"/>
        </w:rPr>
        <w:t>−n</w:t>
      </w:r>
      <w:r w:rsidRPr="00267C17">
        <w:t xml:space="preserve">, cannot be directly treated as a conventional Arrhenius rate constant. Therefore, the corrected </w:t>
      </w:r>
      <w:proofErr w:type="spellStart"/>
      <w:r w:rsidRPr="00267C17">
        <w:t>Avrami</w:t>
      </w:r>
      <w:proofErr w:type="spellEnd"/>
      <w:r w:rsidRPr="00267C17">
        <w:t xml:space="preserve"> rate constant was calculated according to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45"/>
        <w:gridCol w:w="851"/>
      </w:tblGrid>
      <w:tr w:rsidR="006C5D51" w14:paraId="341C1C2A" w14:textId="77777777" w:rsidTr="006C5D51">
        <w:tc>
          <w:tcPr>
            <w:tcW w:w="8545" w:type="dxa"/>
          </w:tcPr>
          <w:p w14:paraId="51C4797E" w14:textId="44A97407" w:rsidR="006C5D51" w:rsidRDefault="006C5D51" w:rsidP="006C5D51">
            <w:pPr>
              <w:pStyle w:val="BodyText"/>
              <w:spacing w:line="360" w:lineRule="auto"/>
              <w:jc w:val="both"/>
            </w:pPr>
            <w:r w:rsidRPr="0075043D">
              <w:rPr>
                <w:i/>
              </w:rPr>
              <w:t>k</w:t>
            </w:r>
            <w:r w:rsidRPr="0075043D">
              <w:rPr>
                <w:vertAlign w:val="subscript"/>
              </w:rPr>
              <w:t>a(new)</w:t>
            </w:r>
            <w:r>
              <w:rPr>
                <w:vertAlign w:val="subscript"/>
              </w:rPr>
              <w:t> </w:t>
            </w:r>
            <w:r w:rsidRPr="00267C17">
              <w:t>=</w:t>
            </w:r>
            <w:r>
              <w:t> </w:t>
            </w:r>
            <w:r w:rsidRPr="00267C17">
              <w:t>(</w:t>
            </w:r>
            <w:r w:rsidRPr="0075043D">
              <w:rPr>
                <w:i/>
              </w:rPr>
              <w:t>k</w:t>
            </w:r>
            <w:r w:rsidRPr="0075043D">
              <w:rPr>
                <w:vertAlign w:val="subscript"/>
              </w:rPr>
              <w:t>a</w:t>
            </w:r>
            <w:r w:rsidRPr="00267C17">
              <w:t>)</w:t>
            </w:r>
            <w:r w:rsidRPr="00267C17">
              <w:rPr>
                <w:vertAlign w:val="superscript"/>
              </w:rPr>
              <w:t>1/</w:t>
            </w:r>
            <w:r w:rsidRPr="0075043D">
              <w:rPr>
                <w:i/>
                <w:vertAlign w:val="superscript"/>
              </w:rPr>
              <w:t>n</w:t>
            </w:r>
            <w:r w:rsidRPr="00267C17">
              <w:t xml:space="preserve"> </w:t>
            </w:r>
          </w:p>
        </w:tc>
        <w:tc>
          <w:tcPr>
            <w:tcW w:w="851" w:type="dxa"/>
          </w:tcPr>
          <w:p w14:paraId="7975B7E1" w14:textId="074ACE74" w:rsidR="006C5D51" w:rsidRDefault="006C5D51" w:rsidP="00862F50">
            <w:pPr>
              <w:pStyle w:val="BodyText"/>
              <w:spacing w:line="360" w:lineRule="auto"/>
              <w:jc w:val="both"/>
            </w:pPr>
            <w:r>
              <w:t>(</w:t>
            </w:r>
            <w:r>
              <w:fldChar w:fldCharType="begin"/>
            </w:r>
            <w:r>
              <w:instrText xml:space="preserve"> seq eq </w:instrText>
            </w:r>
            <w:r>
              <w:fldChar w:fldCharType="separate"/>
            </w:r>
            <w:r>
              <w:rPr>
                <w:noProof/>
              </w:rPr>
              <w:t>11</w:t>
            </w:r>
            <w:r>
              <w:fldChar w:fldCharType="end"/>
            </w:r>
            <w:r>
              <w:t>)</w:t>
            </w:r>
          </w:p>
        </w:tc>
      </w:tr>
    </w:tbl>
    <w:p w14:paraId="4C9D02B1" w14:textId="66F1AF9C" w:rsidR="00862F50" w:rsidRPr="00267C17" w:rsidRDefault="00B7783F" w:rsidP="000C78A0">
      <w:pPr>
        <w:pStyle w:val="BodyText"/>
        <w:spacing w:line="360" w:lineRule="auto"/>
        <w:jc w:val="both"/>
      </w:pPr>
      <w:r>
        <w:t xml:space="preserve">This ensures that the resulting parameter has units of </w:t>
      </w:r>
      <w:r w:rsidR="003A2E0B">
        <w:t>[</w:t>
      </w:r>
      <w:r>
        <w:t>time</w:t>
      </w:r>
      <w:r w:rsidR="003A2E0B">
        <w:t>]</w:t>
      </w:r>
      <w:r>
        <w:t xml:space="preserve">⁻¹ and can be used in Arrhenius-type analysis. In the following sections, discussions referencing </w:t>
      </w:r>
      <w:r w:rsidR="003A2E0B" w:rsidRPr="0075043D">
        <w:rPr>
          <w:i/>
        </w:rPr>
        <w:t>k</w:t>
      </w:r>
      <w:r w:rsidR="003A2E0B" w:rsidRPr="0075043D">
        <w:rPr>
          <w:vertAlign w:val="subscript"/>
        </w:rPr>
        <w:t>a</w:t>
      </w:r>
      <w:r w:rsidR="003A2E0B">
        <w:t xml:space="preserve"> </w:t>
      </w:r>
      <w:r>
        <w:t xml:space="preserve">always pertain to the new </w:t>
      </w:r>
      <w:r w:rsidR="003A2E0B" w:rsidRPr="0075043D">
        <w:rPr>
          <w:i/>
        </w:rPr>
        <w:t>k</w:t>
      </w:r>
      <w:r w:rsidR="003A2E0B" w:rsidRPr="0075043D">
        <w:rPr>
          <w:vertAlign w:val="subscript"/>
        </w:rPr>
        <w:t>a</w:t>
      </w:r>
      <w:r w:rsidR="0067669D">
        <w:t xml:space="preserve"> </w:t>
      </w:r>
      <w:r w:rsidR="00E270CF" w:rsidRPr="00267C17">
        <w:fldChar w:fldCharType="begin"/>
      </w:r>
      <w:r w:rsidR="000C78A0">
        <w:instrText xml:space="preserve"> ADDIN ZOTERO_ITEM CSL_CITATION {"citationID":"dA3TD9DK","properties":{"unsorted":false,"formattedCitation":"[30]","plainCitation":"[30]","noteIndex":0},"citationItems":[{"id":364,"uris":["http://zotero.org/users/local/CPEr2PVS/items/ZKMJW3JN"],"itemData":{"id":364,"type":"article-journal","abstract":"Ozawa has modified the Avrami model to treat non-isothermal crystallization kinetics. The resulting Ozawa–Avrami model yields the Avrami index (n) and...","container-title":"Polymers","DOI":"10.3390/polym14040693","ISSN":"2073-4360","issue":"4","language":"en","license":"http://creativecommons.org/licenses/by/3.0/","publisher":"Multidisciplinary Digital Publishing Institute","source":"www.mdpi.com","title":"Problems with Applying the Ozawa–Avrami Crystallization Model to Non-Isothermal Crosslinking Polymerization","URL":"https://www.mdpi.com/2073-4360/14/4/693","volume":"14","author":[{"family":"Vyazovkin","given":"Sergey"},{"family":"Galukhin","given":"Andrey"}],"accessed":{"date-parts":[["2026",4,29]]},"issued":{"date-parts":[["2022",2,11]]}}}],"schema":"https://github.com/citation-style-language/schema/raw/master/csl-citation.json"} </w:instrText>
      </w:r>
      <w:r w:rsidR="00E270CF" w:rsidRPr="00267C17">
        <w:fldChar w:fldCharType="separate"/>
      </w:r>
      <w:r w:rsidR="000C78A0" w:rsidRPr="000C78A0">
        <w:t>[30]</w:t>
      </w:r>
      <w:r w:rsidR="00E270CF" w:rsidRPr="00267C17">
        <w:fldChar w:fldCharType="end"/>
      </w:r>
      <w:r w:rsidR="00862F50" w:rsidRPr="00267C17">
        <w:t>.</w:t>
      </w:r>
    </w:p>
    <w:p w14:paraId="4D966524" w14:textId="70BE8687" w:rsidR="00BB0851" w:rsidRDefault="00C46E80" w:rsidP="00BB0851">
      <w:pPr>
        <w:pStyle w:val="BodyText"/>
        <w:spacing w:line="360" w:lineRule="auto"/>
        <w:jc w:val="both"/>
      </w:pPr>
      <w:r w:rsidRPr="00C46E80">
        <w:lastRenderedPageBreak/>
        <w:t>Experimental conversion–time data confirmed that wet wollastonite carbonation proceeded more rapidly and extensively as temperature increased from 25°C to 90°C. To further assess this temperature dependence</w:t>
      </w:r>
      <w:r w:rsidR="00BB0851">
        <w:t xml:space="preserve">, Arrhenius-type analysis was performed using rate constants derived independently from the </w:t>
      </w:r>
      <w:proofErr w:type="spellStart"/>
      <w:r w:rsidR="00BB0851">
        <w:t>Avrami</w:t>
      </w:r>
      <w:proofErr w:type="spellEnd"/>
      <w:r w:rsidR="00BB0851">
        <w:t xml:space="preserve"> model, the surface-reaction-controlled shrinking-core model (SCM), and the diffusion-controlled SCM</w:t>
      </w:r>
      <w:r w:rsidR="00C37755">
        <w:t xml:space="preserve"> (Table S5)</w:t>
      </w:r>
      <w:r w:rsidR="00BB0851">
        <w:t>. Because the linearized model fits showed different relative performances at individual temperatures, particularly at the temperature extremes (25°C and 90°C), using the rate constants from only one model across the entire temperature range would not adequately represent the evolution of the carbonation process. Therefore, the Arrhenius behavior of all three models was compared (Figure 2).</w:t>
      </w:r>
    </w:p>
    <w:p w14:paraId="21E58482" w14:textId="69FA13DE" w:rsidR="00403265" w:rsidRDefault="00403265" w:rsidP="00403265">
      <w:pPr>
        <w:pStyle w:val="BodyText"/>
        <w:spacing w:line="360" w:lineRule="auto"/>
        <w:jc w:val="both"/>
      </w:pPr>
      <w:r w:rsidRPr="00403265">
        <w:t>Interestingly, although the rate constants were obtained from different kinetic models and the single-temperature fits showed different model preferences, the Arrhenius plots displayed the same overall pattern. All three approaches revealed three comparable temperature intervals: 25</w:t>
      </w:r>
      <w:r w:rsidR="00C37755" w:rsidRPr="00403265">
        <w:t>°C</w:t>
      </w:r>
      <w:r w:rsidR="00C37755" w:rsidRPr="00403265">
        <w:t xml:space="preserve"> </w:t>
      </w:r>
      <w:r w:rsidRPr="00403265">
        <w:t>–45°C (Stage I), 45</w:t>
      </w:r>
      <w:r w:rsidR="00C37755" w:rsidRPr="00403265">
        <w:t>°C</w:t>
      </w:r>
      <w:r w:rsidR="00C37755" w:rsidRPr="00403265">
        <w:t xml:space="preserve"> </w:t>
      </w:r>
      <w:r w:rsidRPr="00403265">
        <w:t>–75°C (Stage II), and 75</w:t>
      </w:r>
      <w:r w:rsidR="00C37755" w:rsidRPr="00403265">
        <w:t>°C</w:t>
      </w:r>
      <w:r w:rsidR="00C37755" w:rsidRPr="00403265">
        <w:t xml:space="preserve"> </w:t>
      </w:r>
      <w:r w:rsidRPr="00403265">
        <w:t>–90°C (Stage III). This consistency indicates that the observed stage-wise behavior is not an artifact of one specific model, but reflects a real change in the temperature dependence of the carbonation process. Therefore, wet wollastonite carbonation is better interpreted as a process in which the relative importance of dissolution, precipitation, and transport changes with temperature, rather than as a single invariant mechanism over the whole temperature range.</w:t>
      </w:r>
    </w:p>
    <w:p w14:paraId="280E1D42" w14:textId="641C0480" w:rsidR="00BB0851" w:rsidRDefault="00BB0851" w:rsidP="00403265">
      <w:pPr>
        <w:pStyle w:val="BodyText"/>
        <w:spacing w:line="360" w:lineRule="auto"/>
        <w:jc w:val="both"/>
      </w:pPr>
      <w:r>
        <w:t>Stage I: Low-temperature hindered regime (25°C–45°C).</w:t>
      </w:r>
    </w:p>
    <w:p w14:paraId="5173CEB2" w14:textId="6150F9F6" w:rsidR="00BB0851" w:rsidRDefault="00BB0851" w:rsidP="00BB0851">
      <w:pPr>
        <w:pStyle w:val="BodyText"/>
        <w:spacing w:line="360" w:lineRule="auto"/>
        <w:jc w:val="both"/>
      </w:pPr>
      <w:r>
        <w:t xml:space="preserve">In the low-temperature interval, all three models yield relatively high apparent activation energies, indicating a strongly hindered regime in which carbonation is highly temperature-sensitive. Together with the low </w:t>
      </w:r>
      <w:proofErr w:type="spellStart"/>
      <w:r>
        <w:t>Avrami</w:t>
      </w:r>
      <w:proofErr w:type="spellEnd"/>
      <w:r>
        <w:t xml:space="preserve"> exponent (n = 0.32) and limited conversions, this suggests that insufficient wollastonite dissolution and slow release of reactive calcium species dominate the kinetic response. Therefore, the process is unlikely to be governed by a fully developed product-layer diffusion mechanism despite the superior fit of the diffusion-controlled SCM.</w:t>
      </w:r>
    </w:p>
    <w:p w14:paraId="7C4B680E" w14:textId="7A923665" w:rsidR="00BB0851" w:rsidRDefault="00BB0851" w:rsidP="00BB0851">
      <w:pPr>
        <w:pStyle w:val="BodyText"/>
        <w:spacing w:line="360" w:lineRule="auto"/>
        <w:jc w:val="both"/>
      </w:pPr>
      <w:r>
        <w:t>Stage II: Diffusion-influenced intermediate regime (45°C–75°C).</w:t>
      </w:r>
    </w:p>
    <w:p w14:paraId="7C92F6EE" w14:textId="0168A806" w:rsidR="00BB0851" w:rsidRDefault="00BB0851" w:rsidP="00BB0851">
      <w:pPr>
        <w:pStyle w:val="BodyText"/>
        <w:spacing w:line="360" w:lineRule="auto"/>
        <w:jc w:val="both"/>
      </w:pPr>
      <w:r>
        <w:lastRenderedPageBreak/>
        <w:t xml:space="preserve">At intermediate temperatures, the apparent activation energies obtained from the diffusion-controlled SCM and the corrected </w:t>
      </w:r>
      <w:proofErr w:type="spellStart"/>
      <w:r>
        <w:t>Avrami</w:t>
      </w:r>
      <w:proofErr w:type="spellEnd"/>
      <w:r>
        <w:t xml:space="preserve"> model converge to similar values of approximately 40</w:t>
      </w:r>
      <w:r w:rsidR="004E13C3">
        <w:t> </w:t>
      </w:r>
      <w:r w:rsidR="004E13C3">
        <w:t>kJ mol⁻¹</w:t>
      </w:r>
      <w:r>
        <w:t>–45</w:t>
      </w:r>
      <w:r w:rsidR="004E13C3">
        <w:t> </w:t>
      </w:r>
      <w:r>
        <w:t>kJ</w:t>
      </w:r>
      <w:r w:rsidR="004E13C3">
        <w:t> </w:t>
      </w:r>
      <w:r>
        <w:t>mol⁻¹. In this interval, carbonation proceeds more effectively, while transport through the developing carbonate-silica layer increasingly influences the overall rate. This interpretation is consistent with the progressive product accumulation observed by XRD, DTG, SEM, and AFM, as well as the superior performance of the diffusion-controlled SCM.</w:t>
      </w:r>
    </w:p>
    <w:p w14:paraId="0B023382" w14:textId="19D0DBF5" w:rsidR="00BB0851" w:rsidRDefault="00BB0851" w:rsidP="00BB0851">
      <w:pPr>
        <w:pStyle w:val="BodyText"/>
        <w:spacing w:line="360" w:lineRule="auto"/>
        <w:jc w:val="both"/>
      </w:pPr>
      <w:r>
        <w:t>Stage III: High-temperature mixed regime (75°C–90°C).</w:t>
      </w:r>
    </w:p>
    <w:p w14:paraId="0E5E0872" w14:textId="06B5E4EE" w:rsidR="00BB0851" w:rsidRDefault="00BB0851" w:rsidP="00554480">
      <w:pPr>
        <w:pStyle w:val="BodyText"/>
        <w:spacing w:line="360" w:lineRule="auto"/>
        <w:jc w:val="both"/>
      </w:pPr>
      <w:r>
        <w:t>At higher temperatures, all three models converge to similar apparent activation energies of approximately 11</w:t>
      </w:r>
      <w:r w:rsidR="00554480">
        <w:t> </w:t>
      </w:r>
      <w:r w:rsidR="004E13C3">
        <w:t>kJ mol⁻¹</w:t>
      </w:r>
      <w:r>
        <w:t>–12</w:t>
      </w:r>
      <w:r w:rsidR="00554480">
        <w:t> </w:t>
      </w:r>
      <w:r w:rsidR="004E13C3">
        <w:t>kJ mol⁻¹</w:t>
      </w:r>
      <w:r>
        <w:t>. Although the surface-reaction-controlled SCM provides a better fit to the conversion profile at 90°C, the corresponding activation energies remain characteristic of systems in which transport effects are still significant. This apparent discrepancy suggests that the dominant transport limitation changes rather than disappears. While diffusion resistance at intermediate temperatures is primarily associated with transport through the carbonate-silica product layer, the reduced solubility of CO₂ at higher temperatures may increasingly influence gas dissolution and mass transfer in the liquid phase. Consequently, the behavior at 90°C is better interpreted as mixed control rather than a purely surface-reaction-controlled regime.</w:t>
      </w:r>
    </w:p>
    <w:p w14:paraId="51C5684B" w14:textId="378988C0" w:rsidR="00E63E79" w:rsidRPr="00E63E79" w:rsidRDefault="00E63E79" w:rsidP="00E63E79">
      <w:pPr>
        <w:pStyle w:val="BodyText"/>
        <w:spacing w:line="360" w:lineRule="auto"/>
        <w:jc w:val="both"/>
      </w:pPr>
      <w:r w:rsidRPr="00E63E79">
        <w:t>Furthermore, the decrease in Arrhenius slope from Stage I to Stage III indicates that, although temperature remains a major factor controlling carbonation, the kinetic benefit of further temperature increase is not constant across the investigated range. The strongest temperature sensitivity occurs at low temperatures, whereas the intermediate range (45°C</w:t>
      </w:r>
      <w:r w:rsidRPr="00E63E79">
        <w:t xml:space="preserve"> </w:t>
      </w:r>
      <w:r w:rsidRPr="00E63E79">
        <w:t>–75°C) appears to represent the most effective operating window. At higher temperatures, the lower Arrhenius slope suggests diminishing kinetic gains, likely because transport-related limitations, including CO₂ dissolution and mass transfer in the liquid phase, become increasingly important. Therefore, beyond this intermediate interval, further temperature increases may provide limited additional benefit, implying that process intensification should focus on mitigating transport limitations and passivation effects rather than solely increasing temperature.</w:t>
      </w:r>
    </w:p>
    <w:p w14:paraId="1D3EDC77" w14:textId="77777777" w:rsidR="00E63E79" w:rsidRPr="00E63E79" w:rsidRDefault="00E63E79" w:rsidP="00E63E79">
      <w:pPr>
        <w:pStyle w:val="BodyText"/>
        <w:spacing w:line="360" w:lineRule="auto"/>
        <w:jc w:val="both"/>
      </w:pPr>
      <w:r w:rsidRPr="00E63E79">
        <w:lastRenderedPageBreak/>
        <w:t xml:space="preserve">Accordingly, the calculated activation energies should be interpreted as regime-specific apparent parameters rather than intrinsic constants. This interpretation is further supported by the increase in the </w:t>
      </w:r>
      <w:proofErr w:type="spellStart"/>
      <w:r w:rsidRPr="00E63E79">
        <w:t>Avrami</w:t>
      </w:r>
      <w:proofErr w:type="spellEnd"/>
      <w:r w:rsidRPr="00E63E79">
        <w:t xml:space="preserve"> exponent from 0.32 at 25°C to approximately 0.99 at 90°C, indicating progressively less hindered transformation behavior with increasing temperature.</w:t>
      </w:r>
    </w:p>
    <w:p w14:paraId="61450125" w14:textId="6501B728" w:rsidR="00403265" w:rsidRDefault="00E63E79" w:rsidP="00E63E79">
      <w:pPr>
        <w:pStyle w:val="BodyText"/>
        <w:spacing w:line="360" w:lineRule="auto"/>
        <w:jc w:val="both"/>
      </w:pPr>
      <w:r w:rsidRPr="00E63E79">
        <w:t>Importantly, Stage II (45°C</w:t>
      </w:r>
      <w:r w:rsidRPr="00E63E79">
        <w:t xml:space="preserve"> </w:t>
      </w:r>
      <w:r w:rsidRPr="00E63E79">
        <w:t>–75°C) provides the most internally consistent activation-energy estimate. In this interval, the linearized model fitting identifies the diffusion-controlled SCM as the most suitable description, and the Arrhenius analysis based on diffusion-derived rate constants gives an apparent activation energy of approximately 39</w:t>
      </w:r>
      <w:r w:rsidRPr="00E63E79">
        <w:t xml:space="preserve"> </w:t>
      </w:r>
      <w:r w:rsidRPr="00E63E79">
        <w:t xml:space="preserve">kJ mol⁻¹–40 kJ mol⁻¹. This value is close to that obtained from the corrected </w:t>
      </w:r>
      <w:proofErr w:type="spellStart"/>
      <w:r w:rsidRPr="00E63E79">
        <w:t>Avrami</w:t>
      </w:r>
      <w:proofErr w:type="spellEnd"/>
      <w:r w:rsidRPr="00E63E79">
        <w:t xml:space="preserve"> rate constant (~45 kJ mol⁻¹), indicating that both model fitting and temperature-dependent analysis point to a diffusion-influenced regime in this range. Therefore, the most reliable and physically reportable activation energy in the present study is considered to be approximately 40–45 kJ mol⁻¹ for the intermediate temperature interval. In contrast, the activation energies obtained for Stage I and Stage III should be interpreted more cautiously, because the single-temperature model fitting and Arrhenius behavior are less consistent at the temperature extremes.</w:t>
      </w:r>
    </w:p>
    <w:p w14:paraId="49F24271" w14:textId="43DFB9E3" w:rsidR="00FC7690" w:rsidRPr="00267C17" w:rsidRDefault="007F5AEA" w:rsidP="00BB0851">
      <w:pPr>
        <w:pStyle w:val="BodyText"/>
        <w:spacing w:line="360" w:lineRule="auto"/>
        <w:jc w:val="both"/>
      </w:pPr>
      <w:r>
        <w:t xml:space="preserve">                                                                                               </w:t>
      </w:r>
      <w:r w:rsidR="00091BE4">
        <w:rPr>
          <w:noProof/>
        </w:rPr>
        <w:drawing>
          <wp:inline distT="0" distB="0" distL="0" distR="0" wp14:anchorId="42D41575" wp14:editId="28E6DDB2">
            <wp:extent cx="5972810" cy="1433195"/>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72810" cy="1433195"/>
                    </a:xfrm>
                    <a:prstGeom prst="rect">
                      <a:avLst/>
                    </a:prstGeom>
                  </pic:spPr>
                </pic:pic>
              </a:graphicData>
            </a:graphic>
          </wp:inline>
        </w:drawing>
      </w:r>
    </w:p>
    <w:p w14:paraId="78F35B81" w14:textId="357C1538" w:rsidR="00FC7690" w:rsidRPr="00267C17" w:rsidRDefault="00FC7690" w:rsidP="0015665B">
      <w:pPr>
        <w:pStyle w:val="Caption"/>
        <w:jc w:val="center"/>
      </w:pPr>
      <w:bookmarkStart w:id="5" w:name="_Ref228793882"/>
      <w:r>
        <w:t xml:space="preserve">Figure </w:t>
      </w:r>
      <w:r>
        <w:fldChar w:fldCharType="begin"/>
      </w:r>
      <w:r>
        <w:instrText xml:space="preserve"> SEQ Figure \* ARABIC </w:instrText>
      </w:r>
      <w:r>
        <w:fldChar w:fldCharType="separate"/>
      </w:r>
      <w:r w:rsidR="00A27D86">
        <w:rPr>
          <w:noProof/>
        </w:rPr>
        <w:t>2</w:t>
      </w:r>
      <w:r>
        <w:fldChar w:fldCharType="end"/>
      </w:r>
      <w:bookmarkEnd w:id="5"/>
      <w:r w:rsidR="00F176B8">
        <w:t>:</w:t>
      </w:r>
      <w:r w:rsidR="00A77BAC">
        <w:t xml:space="preserve"> </w:t>
      </w:r>
      <w:r w:rsidR="0015665B" w:rsidRPr="0015665B">
        <w:t xml:space="preserve">Segmented Arrhenius-type plots of kinetic parameters derived from the </w:t>
      </w:r>
      <w:proofErr w:type="spellStart"/>
      <w:r w:rsidR="0015665B" w:rsidRPr="0015665B">
        <w:t>Avrami</w:t>
      </w:r>
      <w:proofErr w:type="spellEnd"/>
      <w:r w:rsidR="0015665B" w:rsidRPr="0015665B">
        <w:t xml:space="preserve"> and SCM analyses for wet wollastonite carbonation. </w:t>
      </w:r>
      <w:r w:rsidR="0015665B" w:rsidRPr="0015665B">
        <w:rPr>
          <w:b/>
          <w:bCs/>
        </w:rPr>
        <w:t>(a)</w:t>
      </w:r>
      <w:r w:rsidR="0015665B" w:rsidRPr="0015665B">
        <w:t xml:space="preserve"> Corrected </w:t>
      </w:r>
      <w:proofErr w:type="spellStart"/>
      <w:r w:rsidR="0015665B" w:rsidRPr="0015665B">
        <w:t>Avrami</w:t>
      </w:r>
      <w:proofErr w:type="spellEnd"/>
      <w:r w:rsidR="0015665B" w:rsidRPr="0015665B">
        <w:t xml:space="preserve"> rate constant k</w:t>
      </w:r>
      <w:r w:rsidR="0015665B">
        <w:t>a</w:t>
      </w:r>
      <w:r w:rsidR="0015665B" w:rsidRPr="0015665B">
        <w:rPr>
          <w:vertAlign w:val="superscript"/>
        </w:rPr>
        <w:t>1/2</w:t>
      </w:r>
      <w:r w:rsidR="0015665B" w:rsidRPr="0015665B">
        <w:t xml:space="preserve">, </w:t>
      </w:r>
      <w:r w:rsidR="0015665B" w:rsidRPr="0015665B">
        <w:rPr>
          <w:b/>
          <w:bCs/>
        </w:rPr>
        <w:t>(b)</w:t>
      </w:r>
      <w:r w:rsidR="0015665B" w:rsidRPr="0015665B">
        <w:t xml:space="preserve"> SCM surface-reaction rate constant, and </w:t>
      </w:r>
      <w:r w:rsidR="0015665B" w:rsidRPr="0015665B">
        <w:rPr>
          <w:b/>
          <w:bCs/>
        </w:rPr>
        <w:t>(c)</w:t>
      </w:r>
      <w:r w:rsidR="0015665B" w:rsidRPr="0015665B">
        <w:t xml:space="preserve"> SCM diffusion rate constant plotted as ln</w:t>
      </w:r>
      <w:r w:rsidR="0015665B">
        <w:t xml:space="preserve">(k) </w:t>
      </w:r>
      <w:r w:rsidR="0015665B" w:rsidRPr="0015665B">
        <w:t>versus 1/T. The shaded regions indicate the proposed temperature intervals: Stage I (25–</w:t>
      </w:r>
      <w:proofErr w:type="gramStart"/>
      <w:r w:rsidR="0015665B" w:rsidRPr="0015665B">
        <w:t>45)°</w:t>
      </w:r>
      <w:proofErr w:type="gramEnd"/>
      <w:r w:rsidR="0015665B" w:rsidRPr="0015665B">
        <w:t>C, Stage II (45–75)°C, and Stage III (75–90)°C, used to evaluate regime-specific apparent activation energies.</w:t>
      </w:r>
    </w:p>
    <w:p w14:paraId="5C342542" w14:textId="77777777" w:rsidR="00D117FB" w:rsidRPr="00267C17" w:rsidRDefault="00D117FB" w:rsidP="00D117FB">
      <w:pPr>
        <w:pStyle w:val="Heading2"/>
        <w:rPr>
          <w:color w:val="auto"/>
        </w:rPr>
      </w:pPr>
      <w:r w:rsidRPr="00267C17">
        <w:rPr>
          <w:color w:val="auto"/>
        </w:rPr>
        <w:t>Particle-size effect at one temperature</w:t>
      </w:r>
    </w:p>
    <w:p w14:paraId="7CB2C9D5" w14:textId="77777777" w:rsidR="00EC4730" w:rsidRPr="00267C17" w:rsidRDefault="00EC4730" w:rsidP="00EC4730">
      <w:pPr>
        <w:pStyle w:val="BodyText"/>
        <w:spacing w:line="360" w:lineRule="auto"/>
        <w:jc w:val="both"/>
      </w:pPr>
      <w:r w:rsidRPr="00A2365D">
        <w:t xml:space="preserve">To further assess the kinetic behavior of wet wollastonite carbonation, the influence of particle size was investigated at 90°C, which yielded the highest conversion in the temperature-dependent experiments. The particle-size effect was examined by comparing a </w:t>
      </w:r>
      <w:r w:rsidRPr="00A2365D">
        <w:lastRenderedPageBreak/>
        <w:t>ground fine sample with a non-ground coarse sample under otherwise identical carbonation conditions. This comparison was intended to clarify how particle size reduction affects both the reaction rate and the apparent kinetic behavior of wollastonite carbonation</w:t>
      </w:r>
      <w:r>
        <w:fldChar w:fldCharType="begin"/>
      </w:r>
      <w:r>
        <w:instrText xml:space="preserve"> ADDIN ZOTERO_ITEM CSL_CITATION {"citationID":"lE7BIdmK","properties":{"unsorted":false,"formattedCitation":"[21]","plainCitation":"[21]","noteIndex":0},"citationItems":[{"id":269,"uris":["http://zotero.org/users/local/CPEr2PVS/items/6M2DG4PM","http://zotero.org/users/local/CPEr2PVS/items/GZDRARQS"],"itemData":{"id":269,"type":"article-journal","container-title":"Environmental Science &amp; Technology","DOI":"10.1021/acs.est.7b04475","ISSN":"0013-936X, 1520-5851","issue":"21","journalAbbreviation":"Environ. Sci. Technol.","language":"en","page":"13044-13053","source":"DOI.org (Crossref)","title":"Wollastonite Carbonation in Water-Bearing Supercritical CO&lt;sub&gt;2&lt;/sub&gt; : Effects of Particle Size","title-short":"Wollastonite Carbonation in Water-Bearing Supercritical CO&lt;sub&gt;2&lt;/sub&gt;","volume":"51","author":[{"family":"Min","given":"Yujia"},{"family":"Li","given":"Qingyun"},{"family":"Voltolini","given":"Marco"},{"family":"Kneafsey","given":"Timothy"},{"family":"Jun","given":"Young-Shin"}],"issued":{"date-parts":[["2017",11,7]]}}}],"schema":"https://github.com/citation-style-language/schema/raw/master/csl-citation.json"} </w:instrText>
      </w:r>
      <w:r>
        <w:fldChar w:fldCharType="separate"/>
      </w:r>
      <w:r w:rsidRPr="006E728E">
        <w:t>[21]</w:t>
      </w:r>
      <w:r>
        <w:fldChar w:fldCharType="end"/>
      </w:r>
      <w:r w:rsidRPr="00267C17">
        <w:t>.</w:t>
      </w:r>
    </w:p>
    <w:p w14:paraId="71F5EB09" w14:textId="77777777" w:rsidR="00EC4730" w:rsidRPr="00A2365D" w:rsidRDefault="00EC4730" w:rsidP="00EC4730">
      <w:pPr>
        <w:pStyle w:val="BodyText"/>
        <w:spacing w:line="360" w:lineRule="auto"/>
        <w:jc w:val="both"/>
      </w:pPr>
      <w:r w:rsidRPr="00267C17">
        <w:t>The conversion–time profiles (</w:t>
      </w:r>
      <w:r>
        <w:fldChar w:fldCharType="begin"/>
      </w:r>
      <w:r>
        <w:instrText xml:space="preserve"> REF _Ref230943298 \h </w:instrText>
      </w:r>
      <w:r>
        <w:fldChar w:fldCharType="separate"/>
      </w:r>
      <w:r>
        <w:t xml:space="preserve">Figure </w:t>
      </w:r>
      <w:r>
        <w:rPr>
          <w:noProof/>
        </w:rPr>
        <w:t>3</w:t>
      </w:r>
      <w:r>
        <w:fldChar w:fldCharType="end"/>
      </w:r>
      <w:r>
        <w:t> - a</w:t>
      </w:r>
      <w:r w:rsidRPr="00267C17">
        <w:t xml:space="preserve">) </w:t>
      </w:r>
      <w:r w:rsidRPr="00A2365D">
        <w:t>clearly show that the fine fraction carbonated more rapidly than the coarse fraction over the entire reaction period. Although both samples exhibited the same general trend of increasing conversion with time, the fine sample consistently showed higher conversion values and reached a greater final conversion after 180</w:t>
      </w:r>
      <w:r>
        <w:t> </w:t>
      </w:r>
      <w:r w:rsidRPr="00A2365D">
        <w:t>min. This demonstrates that particle size reduction significantly enhances the carbonation kinetics of wollastonite. The improved performance of the fine fraction can be attributed mainly to its larger accessible surface area. BET analysis showed that the fine sample had a specific surface area of 4.67 m² g</w:t>
      </w:r>
      <w:r w:rsidRPr="00A2365D">
        <w:rPr>
          <w:vertAlign w:val="superscript"/>
        </w:rPr>
        <w:t>−1</w:t>
      </w:r>
      <w:r w:rsidRPr="00A2365D">
        <w:t>, compared with 1.49 m² g</w:t>
      </w:r>
      <w:r w:rsidRPr="00A2365D">
        <w:rPr>
          <w:vertAlign w:val="superscript"/>
        </w:rPr>
        <w:t>−1</w:t>
      </w:r>
      <w:r w:rsidRPr="00A2365D">
        <w:t xml:space="preserve"> for the coarse fraction. This higher surface area provides a greater density of reactive sites and promotes more effective contact between the mineral surface and the reactive aqueous phase. In addition, the smaller particle size likely facilitates faster dissolution of calcium-bearing species and improves the accessibility of the reacting interface.</w:t>
      </w:r>
    </w:p>
    <w:p w14:paraId="02469F73" w14:textId="77777777" w:rsidR="00EC4730" w:rsidRPr="00267C17" w:rsidRDefault="00EC4730" w:rsidP="00EC4730">
      <w:pPr>
        <w:pStyle w:val="BodyText"/>
        <w:spacing w:line="360" w:lineRule="auto"/>
        <w:jc w:val="both"/>
      </w:pPr>
      <w:r w:rsidRPr="00A2365D">
        <w:t>The difference between the fine and coarse samples becomes more pronounced with reaction time, indicating that the effect of particle size is not limited to the initial stage of carbonation. Rather, particle size reduction also supports sustained reaction progress at longer times. Therefore, grinding appears to improve both the initial reactivity and the overall efficiency of wollastonite carbonation under the selected experimental conditions.</w:t>
      </w:r>
    </w:p>
    <w:p w14:paraId="6A5FB6E5" w14:textId="4643CDC7" w:rsidR="00EC4730" w:rsidRPr="003F1119" w:rsidRDefault="00EC4730" w:rsidP="00EC4730">
      <w:pPr>
        <w:pStyle w:val="BodyText"/>
        <w:spacing w:line="360" w:lineRule="auto"/>
        <w:jc w:val="both"/>
      </w:pPr>
      <w:r w:rsidRPr="00267C17">
        <w:t>To further interpret the particle-size-dependent behavior, the experimental data were analyzed using the</w:t>
      </w:r>
      <w:r w:rsidR="00554480">
        <w:t xml:space="preserve"> linearized</w:t>
      </w:r>
      <w:r w:rsidRPr="00267C17">
        <w:t xml:space="preserve"> </w:t>
      </w:r>
      <w:proofErr w:type="spellStart"/>
      <w:r w:rsidRPr="00267C17">
        <w:t>Avrami</w:t>
      </w:r>
      <w:proofErr w:type="spellEnd"/>
      <w:r w:rsidRPr="00267C17">
        <w:t xml:space="preserve"> model together with</w:t>
      </w:r>
      <w:r>
        <w:t xml:space="preserve"> the</w:t>
      </w:r>
      <w:r w:rsidRPr="00267C17">
        <w:t xml:space="preserve"> shrinking-core models for chemical reaction control and diffusion control (</w:t>
      </w:r>
      <w:r>
        <w:fldChar w:fldCharType="begin"/>
      </w:r>
      <w:r>
        <w:instrText xml:space="preserve"> REF _Ref230943298 \h </w:instrText>
      </w:r>
      <w:r>
        <w:fldChar w:fldCharType="separate"/>
      </w:r>
      <w:r>
        <w:t xml:space="preserve">Figure </w:t>
      </w:r>
      <w:r>
        <w:rPr>
          <w:noProof/>
        </w:rPr>
        <w:t>3</w:t>
      </w:r>
      <w:r>
        <w:fldChar w:fldCharType="end"/>
      </w:r>
      <w:r>
        <w:t> – </w:t>
      </w:r>
      <w:proofErr w:type="spellStart"/>
      <w:proofErr w:type="gramStart"/>
      <w:r>
        <w:t>b,c</w:t>
      </w:r>
      <w:proofErr w:type="gramEnd"/>
      <w:r>
        <w:t>,d</w:t>
      </w:r>
      <w:proofErr w:type="spellEnd"/>
      <w:r w:rsidRPr="00267C17">
        <w:t xml:space="preserve">). </w:t>
      </w:r>
      <w:r w:rsidRPr="003F1119">
        <w:t xml:space="preserve">The </w:t>
      </w:r>
      <w:proofErr w:type="spellStart"/>
      <w:r w:rsidRPr="003F1119">
        <w:t>Avrami</w:t>
      </w:r>
      <w:proofErr w:type="spellEnd"/>
      <w:r w:rsidRPr="003F1119">
        <w:t xml:space="preserve"> model provided a good overall description of carbonation behavior for both fine and coarse wollastonite, with linearized plots showing clear linearity in both cases. This indicates that nucleation and growth of the carbonate product remain important features of the carbonation pathway regardless of particle size.</w:t>
      </w:r>
    </w:p>
    <w:p w14:paraId="74F87144" w14:textId="77777777" w:rsidR="00EC4730" w:rsidRPr="003F1119" w:rsidRDefault="00EC4730" w:rsidP="00EC4730">
      <w:pPr>
        <w:pStyle w:val="BodyText"/>
        <w:spacing w:line="360" w:lineRule="auto"/>
        <w:jc w:val="both"/>
      </w:pPr>
      <w:r w:rsidRPr="003F1119">
        <w:t>A more mechanistic distinction emerges from the shrinking-core model analysis. The chemical-reaction-controlled expression provided the most suitable description for both particle-size fractions, with linearized SCM chemical reaction plots</w:t>
      </w:r>
      <w:r>
        <w:t xml:space="preserve"> </w:t>
      </w:r>
      <w:r w:rsidRPr="00267C17">
        <w:t>(</w:t>
      </w:r>
      <w:r>
        <w:fldChar w:fldCharType="begin"/>
      </w:r>
      <w:r>
        <w:instrText xml:space="preserve"> REF _Ref230943298 \h </w:instrText>
      </w:r>
      <w:r>
        <w:fldChar w:fldCharType="separate"/>
      </w:r>
      <w:r>
        <w:t xml:space="preserve">Figure </w:t>
      </w:r>
      <w:r>
        <w:rPr>
          <w:noProof/>
        </w:rPr>
        <w:t>3</w:t>
      </w:r>
      <w:r>
        <w:fldChar w:fldCharType="end"/>
      </w:r>
      <w:r w:rsidRPr="00267C17">
        <w:t xml:space="preserve">- </w:t>
      </w:r>
      <w:r>
        <w:t>c</w:t>
      </w:r>
      <w:r w:rsidRPr="00267C17">
        <w:t xml:space="preserve">) </w:t>
      </w:r>
      <w:r w:rsidRPr="003F1119">
        <w:t xml:space="preserve">showing </w:t>
      </w:r>
      <w:r w:rsidRPr="003F1119">
        <w:lastRenderedPageBreak/>
        <w:t>stronger agreement with experimental data than diffusion-controlled plots. This suggests that carbonation is controlled primarily by the interfacial reaction at the unreacted wollastonite surface rather than by diffusion through a product layer. The fine sample exhibited a steeper slope, indicating a higher apparent reaction rate constant, confirming that particle size reduction enhances the rate of the same governing mechanism rather than introducing a different one. The finer fraction carbonates more rapidly because grinding exposes more reactive surface and improves accessibility of active sites; the coarser fraction remains slower due to limited interfacial reaction rates.</w:t>
      </w:r>
    </w:p>
    <w:p w14:paraId="7A1E3B21" w14:textId="3E8D3DAB" w:rsidR="00EC4730" w:rsidRPr="003F1119" w:rsidRDefault="00EC4730" w:rsidP="00EC4730">
      <w:pPr>
        <w:pStyle w:val="BodyText"/>
        <w:spacing w:line="360" w:lineRule="auto"/>
        <w:jc w:val="both"/>
      </w:pPr>
      <w:r w:rsidRPr="003F1119">
        <w:t xml:space="preserve">Residual analysis supports this </w:t>
      </w:r>
      <w:proofErr w:type="gramStart"/>
      <w:r w:rsidRPr="003F1119">
        <w:t>interpretation</w:t>
      </w:r>
      <w:r w:rsidR="00554480">
        <w:t>(</w:t>
      </w:r>
      <w:proofErr w:type="gramEnd"/>
      <w:r w:rsidR="00554480">
        <w:t>FigureS1)</w:t>
      </w:r>
      <w:r w:rsidRPr="003F1119">
        <w:t xml:space="preserve">. </w:t>
      </w:r>
      <w:proofErr w:type="spellStart"/>
      <w:r w:rsidRPr="003F1119">
        <w:t>Avrami</w:t>
      </w:r>
      <w:proofErr w:type="spellEnd"/>
      <w:r w:rsidRPr="003F1119">
        <w:t xml:space="preserve"> model residuals remained relatively small for both samples, though the model is less diagnostic of the specific rate-limiting step. SCM chemical reaction residuals were more consistently distributed around zero than those of the diffusion-controlled model, confirming that the surface-reaction-controlled formulation better captures the particle-size-dependent kinetic response.</w:t>
      </w:r>
    </w:p>
    <w:p w14:paraId="74CF63E3" w14:textId="246C29B0" w:rsidR="00EC4730" w:rsidRPr="003F1119" w:rsidRDefault="00EC4730" w:rsidP="00EC4730">
      <w:pPr>
        <w:pStyle w:val="BodyText"/>
        <w:spacing w:line="360" w:lineRule="auto"/>
        <w:jc w:val="both"/>
      </w:pPr>
      <w:r w:rsidRPr="003F1119">
        <w:t>XRD analysis</w:t>
      </w:r>
      <w:r>
        <w:t xml:space="preserve"> </w:t>
      </w:r>
      <w:r w:rsidRPr="00267C17">
        <w:t>(</w:t>
      </w:r>
      <w:r>
        <w:fldChar w:fldCharType="begin"/>
      </w:r>
      <w:r>
        <w:instrText xml:space="preserve"> REF _Ref230943437 \h </w:instrText>
      </w:r>
      <w:r>
        <w:fldChar w:fldCharType="separate"/>
      </w:r>
      <w:r w:rsidRPr="00267C17">
        <w:t xml:space="preserve">Figure </w:t>
      </w:r>
      <w:r>
        <w:rPr>
          <w:noProof/>
        </w:rPr>
        <w:t>4</w:t>
      </w:r>
      <w:r>
        <w:fldChar w:fldCharType="end"/>
      </w:r>
      <w:r w:rsidRPr="00267C17">
        <w:t>)</w:t>
      </w:r>
      <w:r>
        <w:t xml:space="preserve"> </w:t>
      </w:r>
      <w:r w:rsidRPr="003F1119">
        <w:t xml:space="preserve">confirmed progressive conversion of wollastonite and formation of calcite as the primary carbonate product, while also revealing distinct differences in carbonate crystal </w:t>
      </w:r>
      <w:r>
        <w:t xml:space="preserve">(Calcite) </w:t>
      </w:r>
      <w:r w:rsidRPr="003F1119">
        <w:t xml:space="preserve">development between the two fractions. The coarse sample exhibited larger calcite crystallites, demonstrating that feed particle size affects both conversion degree and crystallization behavior. Complementary SEM and thermal analysis </w:t>
      </w:r>
      <w:r w:rsidRPr="00267C17">
        <w:t>(</w:t>
      </w:r>
      <w:r>
        <w:fldChar w:fldCharType="begin"/>
      </w:r>
      <w:r>
        <w:instrText xml:space="preserve"> REF _Ref228349954 \h </w:instrText>
      </w:r>
      <w:r>
        <w:fldChar w:fldCharType="separate"/>
      </w:r>
      <w:r w:rsidRPr="00267C17">
        <w:t xml:space="preserve">Figure </w:t>
      </w:r>
      <w:r>
        <w:rPr>
          <w:noProof/>
        </w:rPr>
        <w:t>5</w:t>
      </w:r>
      <w:r>
        <w:fldChar w:fldCharType="end"/>
      </w:r>
      <w:r>
        <w:t>,</w:t>
      </w:r>
      <w:r>
        <w:fldChar w:fldCharType="begin"/>
      </w:r>
      <w:r>
        <w:instrText xml:space="preserve"> REF _Ref228349942 \h </w:instrText>
      </w:r>
      <w:r>
        <w:fldChar w:fldCharType="separate"/>
      </w:r>
      <w:r w:rsidRPr="00267C17">
        <w:t xml:space="preserve">Figure </w:t>
      </w:r>
      <w:r>
        <w:rPr>
          <w:noProof/>
        </w:rPr>
        <w:t>11</w:t>
      </w:r>
      <w:r>
        <w:fldChar w:fldCharType="end"/>
      </w:r>
      <w:r w:rsidRPr="00267C17">
        <w:t>)</w:t>
      </w:r>
      <w:r>
        <w:t xml:space="preserve"> </w:t>
      </w:r>
      <w:r w:rsidRPr="003F1119">
        <w:t xml:space="preserve">support this conclusion: calcite formed on the coarse feed displayed a more pronounced rhombohedral morphology, and slightly higher </w:t>
      </w:r>
      <w:r>
        <w:t>T(</w:t>
      </w:r>
      <w:proofErr w:type="spellStart"/>
      <w:r w:rsidRPr="001A34E0">
        <w:t>DTG</w:t>
      </w:r>
      <w:r w:rsidRPr="001A34E0">
        <w:rPr>
          <w:vertAlign w:val="subscript"/>
        </w:rPr>
        <w:t>max</w:t>
      </w:r>
      <w:proofErr w:type="spellEnd"/>
      <w:r w:rsidRPr="001A34E0">
        <w:rPr>
          <w:vertAlign w:val="subscript"/>
        </w:rPr>
        <w:t>)</w:t>
      </w:r>
      <w:r w:rsidRPr="00997BFA">
        <w:t>)</w:t>
      </w:r>
      <w:r w:rsidRPr="003F1119">
        <w:t xml:space="preserve"> values indicate increased thermal stability of the carbonate phase, consistent with larger crystallite sizes determined by XRD</w:t>
      </w:r>
      <w:r>
        <w:t xml:space="preserve"> </w:t>
      </w:r>
      <w:r>
        <w:fldChar w:fldCharType="begin"/>
      </w:r>
      <w:r>
        <w:instrText xml:space="preserve"> ADDIN ZOTERO_ITEM CSL_CITATION {"citationID":"vd8cIgzq","properties":{"unsorted":false,"formattedCitation":"[30]","plainCitation":"[30]","noteIndex":0},"citationItems":[{"id":382,"uris":["http://zotero.org/users/local/CPEr2PVS/items/BBAXW9MK"],"itemData":{"id":382,"type":"article","abstract":"Calcium silicate  minerals, including wollastonite, are considered promising feedstocks for mineral carbonation, particularly for applications in low-carbon building and construction materials; however, the mechanisms governing their behavior under near-ambient wet conditions are not yet fully understood. This study examines the mechanistic influence of specific operational parameters on wollastonite wet carbonation under additive-free, near-ambient conditions. Two representative carbonated samples, exhibiting low (approximately 6 %) and high (approximately 50 %) carbonation efficiencies, were selected from a systematic screening for detailed analysis. These samples exemplify contrasting regimes of gas-liquid and solid-liquid mass transfer, primarily influenced by CO₂ flow rate and agitation speed. An integrated characterization strategy, incorporating XRF, TGA, XRD, BET, Pycnometry, and SEM-EDX, along with time-resolved kinetic model fitting, was employed. Phase and microstructural analyses reveal limited carbonate formation and sparse, discontinuous precipitates under mass-transfer-limited conditions, whereas extensive calcite precipitation and coalescing intergranular carbonate domains develop when mass transfer is enhanced. Variations in specific surface area, skeletal density, and thermal decomposition behavior correspond to progressive carbonate maturation during the reaction. Kinetic analysis of independent batch experiments at varying carbonation times indicates that both the Avrami model and the surface-reaction-controlled shrinking-core model accurately describe the reaction from the initial stages and remain applicable throughout the process. At extended reaction times, the diffusion-controlled shrinking-core model fits the data, reflecting the increasing significance of diffusional resistance as a carbonate-silica product layer forms.These findings establish a mechanistic link between operating conditions and reaction pathways during near-ambient wet wollastonite carbonation.","DOI":"10.2139/ssrn.6672664","publisher":"SSRN","source":"DOI.org (Crossref)","title":"Regimes in Wet Wollastonite Carbonation: A Comparative Kinetics and Multi-Technique Investigation​","title-short":"Regimes in Wet Wollastonite Carbonation","URL":"https://www.ssrn.com/abstract=6672664","author":[{"family":"Homaee","given":"Sahra"},{"family":"Moeckel","given":"Robert"},{"family":"Ebert","given":"Doreen"},{"family":"Rudolph","given":"Martin"}],"accessed":{"date-parts":[["2026",5,9]]},"issued":{"date-parts":[["2026"]]}}}],"schema":"https://github.com/citation-style-language/schema/raw/master/csl-citation.json"} </w:instrText>
      </w:r>
      <w:r>
        <w:fldChar w:fldCharType="separate"/>
      </w:r>
      <w:r w:rsidRPr="003071C5">
        <w:t>[30]</w:t>
      </w:r>
      <w:r>
        <w:fldChar w:fldCharType="end"/>
      </w:r>
      <w:r w:rsidRPr="00267C17">
        <w:t xml:space="preserve">. </w:t>
      </w:r>
      <w:r w:rsidRPr="003F1119">
        <w:t>A likely explanation is that the finer material, due to its higher specific surface area, provides more nucleation sites, resulting in more distributed precipitation of smaller carbonate domains, whereas the coarser feed favors growth of fewer but larger calcite crystals.</w:t>
      </w:r>
    </w:p>
    <w:p w14:paraId="5337E1E4" w14:textId="77777777" w:rsidR="00EC4730" w:rsidRPr="003F1119" w:rsidRDefault="00EC4730" w:rsidP="00EC4730">
      <w:pPr>
        <w:pStyle w:val="BodyText"/>
        <w:spacing w:line="360" w:lineRule="auto"/>
        <w:jc w:val="both"/>
      </w:pPr>
      <w:r w:rsidRPr="003F1119">
        <w:t xml:space="preserve">The influence of particle size is primarily quantitative rather than mechanistic. Particle size reduction enhanced carbonation rate and final conversion, but the dominant apparent kinetic regime remained unchanged. In contrast, temperature affected both the reaction rate and the apparent mechanistic behavior identified by model comparison, suggesting that temperature </w:t>
      </w:r>
      <w:r w:rsidRPr="003F1119">
        <w:lastRenderedPageBreak/>
        <w:t>exerts a stronger influence than particle size on the overall kinetics of wet wollastonite carbonation.</w:t>
      </w:r>
    </w:p>
    <w:p w14:paraId="66094813" w14:textId="434783CD" w:rsidR="00554480" w:rsidRPr="00554480" w:rsidRDefault="00554480" w:rsidP="00554480">
      <w:pPr>
        <w:pStyle w:val="BodyText"/>
        <w:spacing w:line="360" w:lineRule="auto"/>
        <w:jc w:val="both"/>
      </w:pPr>
      <w:r w:rsidRPr="00554480">
        <w:t>In summary, reducing wollastonite particle size significantly improves carbonation performance at 90°C. The fine fraction achieved higher conversion throughout the reaction period, while kinetic model analysis indicates similar apparent kinetic behavior for both particle-size fractions, with a stronger contribution from surface-related processes at 90°C. XRD, SEM, and T</w:t>
      </w:r>
      <w:r>
        <w:t>(</w:t>
      </w:r>
      <w:proofErr w:type="spellStart"/>
      <w:r w:rsidRPr="00554480">
        <w:t>DTGmax</w:t>
      </w:r>
      <w:proofErr w:type="spellEnd"/>
      <w:r>
        <w:t xml:space="preserve">) </w:t>
      </w:r>
      <w:r w:rsidRPr="00554480">
        <w:t>results further show that particle size influences the crystallization characteristics of the product phase, with the coarse sample favoring larger calcite crystals. The beneficial effect of particle size reduction is therefore best understood as an acceleration of the existing carbonation pathway rather than a shift to a different mechanistic regime.</w:t>
      </w:r>
    </w:p>
    <w:p w14:paraId="3B78C24C" w14:textId="77777777" w:rsidR="00300A62" w:rsidRDefault="00300A62" w:rsidP="003F1119">
      <w:pPr>
        <w:pStyle w:val="BodyText"/>
        <w:spacing w:line="360" w:lineRule="auto"/>
        <w:jc w:val="both"/>
      </w:pPr>
    </w:p>
    <w:p w14:paraId="31A72195" w14:textId="3D2D3A74" w:rsidR="00F061BF" w:rsidRDefault="00F061BF" w:rsidP="000B0F42">
      <w:pPr>
        <w:pStyle w:val="Caption"/>
        <w:jc w:val="center"/>
      </w:pPr>
      <w:bookmarkStart w:id="6" w:name="_Ref230943298"/>
      <w:r>
        <w:rPr>
          <w:noProof/>
        </w:rPr>
        <w:drawing>
          <wp:inline distT="0" distB="0" distL="0" distR="0" wp14:anchorId="0B28540D" wp14:editId="6EE5A5CB">
            <wp:extent cx="5972810" cy="4772025"/>
            <wp:effectExtent l="0" t="0" r="889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72810" cy="4772025"/>
                    </a:xfrm>
                    <a:prstGeom prst="rect">
                      <a:avLst/>
                    </a:prstGeom>
                  </pic:spPr>
                </pic:pic>
              </a:graphicData>
            </a:graphic>
          </wp:inline>
        </w:drawing>
      </w:r>
    </w:p>
    <w:p w14:paraId="3E87AF61" w14:textId="1DDB9853" w:rsidR="00210838" w:rsidRPr="00267C17" w:rsidRDefault="0067416B" w:rsidP="000B0F42">
      <w:pPr>
        <w:pStyle w:val="Caption"/>
        <w:jc w:val="center"/>
      </w:pPr>
      <w:r>
        <w:lastRenderedPageBreak/>
        <w:t xml:space="preserve">Figure </w:t>
      </w:r>
      <w:r>
        <w:fldChar w:fldCharType="begin"/>
      </w:r>
      <w:r>
        <w:instrText xml:space="preserve"> SEQ Figure \* ARABIC </w:instrText>
      </w:r>
      <w:r>
        <w:fldChar w:fldCharType="separate"/>
      </w:r>
      <w:r w:rsidR="00A27D86">
        <w:rPr>
          <w:noProof/>
        </w:rPr>
        <w:t>3</w:t>
      </w:r>
      <w:r>
        <w:fldChar w:fldCharType="end"/>
      </w:r>
      <w:bookmarkEnd w:id="6"/>
      <w:r w:rsidR="00F176B8">
        <w:t xml:space="preserve">: </w:t>
      </w:r>
      <w:r w:rsidRPr="0067416B">
        <w:t xml:space="preserve">Comparison of the experimental conversion behavior and linearized kinetic-model fits for fine and coarse wollastonite during wet carbonation at 90 °C: (a) conversion (X) as a function of time, (b) </w:t>
      </w:r>
      <w:proofErr w:type="spellStart"/>
      <w:r w:rsidRPr="0067416B">
        <w:t>Avrami</w:t>
      </w:r>
      <w:proofErr w:type="spellEnd"/>
      <w:r w:rsidRPr="0067416B">
        <w:t xml:space="preserve"> model, (c) SCM surface chemical reaction control, and (d) SCM diffusion control. These plots provide the basis for assessing the influence of particle size on both carbonation progress and the apparent kinetic regime.</w:t>
      </w:r>
    </w:p>
    <w:p w14:paraId="56611DBF" w14:textId="226DECD2" w:rsidR="00FA481B" w:rsidRPr="00267C17" w:rsidRDefault="00FA481B" w:rsidP="00FA481B">
      <w:pPr>
        <w:pStyle w:val="BodyText"/>
        <w:keepNext/>
        <w:spacing w:line="360" w:lineRule="auto"/>
        <w:jc w:val="center"/>
      </w:pPr>
    </w:p>
    <w:p w14:paraId="2B773BE9" w14:textId="093835A9" w:rsidR="00001E70" w:rsidRDefault="00D45ACF" w:rsidP="00001E70">
      <w:pPr>
        <w:pStyle w:val="Caption"/>
        <w:jc w:val="center"/>
      </w:pPr>
      <w:bookmarkStart w:id="7" w:name="_Ref228349354"/>
      <w:r w:rsidRPr="00267C17">
        <w:rPr>
          <w:noProof/>
        </w:rPr>
        <w:drawing>
          <wp:inline distT="0" distB="0" distL="0" distR="0" wp14:anchorId="1441F9CE" wp14:editId="4E2631B7">
            <wp:extent cx="5972810" cy="2209165"/>
            <wp:effectExtent l="0" t="0" r="8890" b="635"/>
            <wp:docPr id="43" name="Picture 43" descr="A diagram of a bar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diagram of a bar graph&#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72810" cy="2209165"/>
                    </a:xfrm>
                    <a:prstGeom prst="rect">
                      <a:avLst/>
                    </a:prstGeom>
                  </pic:spPr>
                </pic:pic>
              </a:graphicData>
            </a:graphic>
          </wp:inline>
        </w:drawing>
      </w:r>
    </w:p>
    <w:p w14:paraId="3E0BB5BD" w14:textId="77777777" w:rsidR="00001E70" w:rsidRDefault="00001E70" w:rsidP="00001E70">
      <w:pPr>
        <w:pStyle w:val="Caption"/>
        <w:jc w:val="center"/>
      </w:pPr>
    </w:p>
    <w:bookmarkEnd w:id="7"/>
    <w:p w14:paraId="3F70D163" w14:textId="5EEDFC59" w:rsidR="009C2BA7" w:rsidRDefault="009C2BA7" w:rsidP="00332411">
      <w:pPr>
        <w:pStyle w:val="Caption"/>
      </w:pPr>
    </w:p>
    <w:p w14:paraId="6FA8D6F0" w14:textId="47443D47" w:rsidR="00D45ACF" w:rsidRDefault="00D45ACF" w:rsidP="00D45ACF">
      <w:pPr>
        <w:pStyle w:val="Caption"/>
        <w:jc w:val="center"/>
      </w:pPr>
      <w:bookmarkStart w:id="8" w:name="_Ref230943437"/>
      <w:r w:rsidRPr="00267C17">
        <w:t xml:space="preserve">Figure </w:t>
      </w:r>
      <w:r w:rsidRPr="00267C17">
        <w:fldChar w:fldCharType="begin"/>
      </w:r>
      <w:r w:rsidRPr="00267C17">
        <w:instrText xml:space="preserve"> SEQ Figure \* ARABIC </w:instrText>
      </w:r>
      <w:r w:rsidRPr="00267C17">
        <w:fldChar w:fldCharType="separate"/>
      </w:r>
      <w:r w:rsidR="00A27D86">
        <w:rPr>
          <w:noProof/>
        </w:rPr>
        <w:t>4</w:t>
      </w:r>
      <w:r w:rsidRPr="00267C17">
        <w:fldChar w:fldCharType="end"/>
      </w:r>
      <w:bookmarkEnd w:id="8"/>
      <w:r>
        <w:t xml:space="preserve">: </w:t>
      </w:r>
      <w:r w:rsidRPr="00267C17">
        <w:t>Time-dependent phase evolution and calcite crystallite-size development for fine and coarse wollastonite during wet carbonation at 90°C</w:t>
      </w:r>
      <w:r>
        <w:t xml:space="preserve"> observed with XRD</w:t>
      </w:r>
      <w:r w:rsidRPr="00267C17">
        <w:t xml:space="preserve">, illustrating the faster wollastonite-to-calcite transformation of the fine fraction and the larger calcite crystallites formed in the coarse fraction. The colored fields show the relative fractions of wollastonite and calcite as a function of carbonation time, while the </w:t>
      </w:r>
      <w:r>
        <w:t>circles’</w:t>
      </w:r>
      <w:r w:rsidRPr="00267C17">
        <w:t xml:space="preserve"> size represents the corresponding calcite crystallite size</w:t>
      </w:r>
    </w:p>
    <w:p w14:paraId="4227F97E" w14:textId="77777777" w:rsidR="009C2BA7" w:rsidRDefault="009C2BA7" w:rsidP="00FC7690">
      <w:pPr>
        <w:pStyle w:val="Caption"/>
        <w:jc w:val="center"/>
      </w:pPr>
    </w:p>
    <w:p w14:paraId="0AAEEE01" w14:textId="77777777" w:rsidR="009C2BA7" w:rsidRDefault="009C2BA7" w:rsidP="00FC7690">
      <w:pPr>
        <w:pStyle w:val="Caption"/>
        <w:jc w:val="center"/>
      </w:pPr>
    </w:p>
    <w:p w14:paraId="5B46DF08" w14:textId="5A6C7AAB" w:rsidR="009C2BA7" w:rsidRDefault="009C2BA7" w:rsidP="00FC7690">
      <w:pPr>
        <w:pStyle w:val="Caption"/>
        <w:jc w:val="center"/>
      </w:pPr>
    </w:p>
    <w:p w14:paraId="25F7846B" w14:textId="53ACF5EA" w:rsidR="009C2BA7" w:rsidRPr="00267C17" w:rsidRDefault="00332411" w:rsidP="009423E8">
      <w:pPr>
        <w:pStyle w:val="Caption"/>
        <w:jc w:val="center"/>
      </w:pPr>
      <w:r>
        <w:rPr>
          <w:noProof/>
        </w:rPr>
        <w:lastRenderedPageBreak/>
        <w:drawing>
          <wp:inline distT="0" distB="0" distL="0" distR="0" wp14:anchorId="130619C2" wp14:editId="5DF5B3E7">
            <wp:extent cx="5572352" cy="404556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72352" cy="4045567"/>
                    </a:xfrm>
                    <a:prstGeom prst="rect">
                      <a:avLst/>
                    </a:prstGeom>
                  </pic:spPr>
                </pic:pic>
              </a:graphicData>
            </a:graphic>
          </wp:inline>
        </w:drawing>
      </w:r>
    </w:p>
    <w:p w14:paraId="161B9D61" w14:textId="41119968" w:rsidR="00FA481B" w:rsidRDefault="00FA481B" w:rsidP="0075043D">
      <w:pPr>
        <w:pStyle w:val="Caption"/>
        <w:jc w:val="center"/>
      </w:pPr>
      <w:r w:rsidRPr="00267C17">
        <w:t xml:space="preserve">                                                                                    </w:t>
      </w:r>
    </w:p>
    <w:p w14:paraId="4CD25BCF" w14:textId="77777777" w:rsidR="00332411" w:rsidRDefault="009C2BA7" w:rsidP="00001E70">
      <w:pPr>
        <w:pStyle w:val="Caption"/>
      </w:pPr>
      <w:r>
        <w:t xml:space="preserve">                                                  </w:t>
      </w:r>
    </w:p>
    <w:p w14:paraId="7EA9DB84" w14:textId="0EAEDF1A" w:rsidR="00664B4B" w:rsidRPr="00267C17" w:rsidRDefault="003B7815" w:rsidP="00332411">
      <w:pPr>
        <w:pStyle w:val="Caption"/>
        <w:jc w:val="center"/>
      </w:pPr>
      <w:r>
        <w:rPr>
          <w:noProof/>
        </w:rPr>
        <w:t xml:space="preserve">  </w:t>
      </w:r>
    </w:p>
    <w:p w14:paraId="7BE3A6EA" w14:textId="2E4AE439" w:rsidR="00D16AD4" w:rsidRDefault="00FA481B" w:rsidP="003B7815">
      <w:pPr>
        <w:pStyle w:val="Caption"/>
        <w:jc w:val="center"/>
      </w:pPr>
      <w:bookmarkStart w:id="9" w:name="_Ref228349954"/>
      <w:r w:rsidRPr="00267C17">
        <w:t xml:space="preserve">Figure </w:t>
      </w:r>
      <w:r w:rsidRPr="00267C17">
        <w:fldChar w:fldCharType="begin"/>
      </w:r>
      <w:r w:rsidRPr="00267C17">
        <w:instrText xml:space="preserve"> SEQ Figure \* ARABIC </w:instrText>
      </w:r>
      <w:r w:rsidRPr="00267C17">
        <w:fldChar w:fldCharType="separate"/>
      </w:r>
      <w:r w:rsidR="00A27D86">
        <w:rPr>
          <w:noProof/>
        </w:rPr>
        <w:t>5</w:t>
      </w:r>
      <w:r w:rsidRPr="00267C17">
        <w:fldChar w:fldCharType="end"/>
      </w:r>
      <w:bookmarkEnd w:id="9"/>
      <w:r w:rsidR="00F176B8">
        <w:t xml:space="preserve">: </w:t>
      </w:r>
      <w:r w:rsidR="003B7815" w:rsidRPr="003B7815">
        <w:t>SEM backscattered images of the wollastonite feed and corresponding carbonated products for the two particle-size fractions: (a) coarse feed, (b) carbonated coarse feed, (c) fine feed, and (d) carbonated fine feed. The images illustrate the morphology of the initial feed particles and the development of the precipitated carbonate phase after carbonation, highlighting the influence of feed particle size on product morphology and crystal development.</w:t>
      </w:r>
    </w:p>
    <w:p w14:paraId="03DD1804" w14:textId="77777777" w:rsidR="00332411" w:rsidRPr="00267C17" w:rsidRDefault="00332411" w:rsidP="003B7815">
      <w:pPr>
        <w:pStyle w:val="Caption"/>
        <w:jc w:val="center"/>
      </w:pPr>
    </w:p>
    <w:p w14:paraId="2F51DB39" w14:textId="072D59D7" w:rsidR="00107F53" w:rsidRPr="00267C17" w:rsidRDefault="00FC1198" w:rsidP="00FC1198">
      <w:pPr>
        <w:pStyle w:val="Heading2"/>
        <w:rPr>
          <w:color w:val="auto"/>
        </w:rPr>
      </w:pPr>
      <w:r w:rsidRPr="00267C17">
        <w:rPr>
          <w:color w:val="auto"/>
        </w:rPr>
        <w:t xml:space="preserve">Structural, thermal, and morphological </w:t>
      </w:r>
      <w:r w:rsidR="001F7DBB">
        <w:rPr>
          <w:color w:val="auto"/>
        </w:rPr>
        <w:t>observations</w:t>
      </w:r>
      <w:r w:rsidR="001F7DBB" w:rsidRPr="00267C17">
        <w:rPr>
          <w:color w:val="auto"/>
        </w:rPr>
        <w:t xml:space="preserve"> </w:t>
      </w:r>
      <w:r w:rsidR="001F7DBB">
        <w:rPr>
          <w:color w:val="auto"/>
        </w:rPr>
        <w:t>of</w:t>
      </w:r>
      <w:r w:rsidR="001F7DBB" w:rsidRPr="00267C17">
        <w:rPr>
          <w:color w:val="auto"/>
        </w:rPr>
        <w:t xml:space="preserve"> </w:t>
      </w:r>
      <w:r w:rsidRPr="00267C17">
        <w:rPr>
          <w:color w:val="auto"/>
        </w:rPr>
        <w:t>temperature-dependent carbonation evolution</w:t>
      </w:r>
    </w:p>
    <w:p w14:paraId="4F8E06E5" w14:textId="5A420FD9" w:rsidR="00284A71" w:rsidRPr="00284A71" w:rsidRDefault="00FC7690" w:rsidP="00284A71">
      <w:pPr>
        <w:pStyle w:val="BodyText"/>
        <w:spacing w:line="360" w:lineRule="auto"/>
        <w:jc w:val="both"/>
        <w:rPr>
          <w:rFonts w:ascii="Times New Roman" w:eastAsia="Times New Roman" w:hAnsi="Times New Roman" w:cs="Times New Roman"/>
        </w:rPr>
      </w:pPr>
      <w:r w:rsidRPr="00267C17">
        <w:rPr>
          <w:rFonts w:ascii="Times New Roman" w:eastAsia="Times New Roman" w:hAnsi="Times New Roman" w:cs="Times New Roman"/>
        </w:rPr>
        <w:t>Time-resolved XRD analysis (</w:t>
      </w:r>
      <w:r w:rsidRPr="00267C17">
        <w:rPr>
          <w:rFonts w:ascii="Times New Roman" w:eastAsia="Times New Roman" w:hAnsi="Times New Roman" w:cs="Times New Roman"/>
        </w:rPr>
        <w:fldChar w:fldCharType="begin"/>
      </w:r>
      <w:r w:rsidRPr="00267C17">
        <w:rPr>
          <w:rFonts w:ascii="Times New Roman" w:eastAsia="Times New Roman" w:hAnsi="Times New Roman" w:cs="Times New Roman"/>
        </w:rPr>
        <w:instrText xml:space="preserve"> REF _Ref228354993 \h </w:instrText>
      </w:r>
      <w:r w:rsidRPr="00267C17">
        <w:rPr>
          <w:rFonts w:ascii="Times New Roman" w:eastAsia="Times New Roman" w:hAnsi="Times New Roman" w:cs="Times New Roman"/>
        </w:rPr>
      </w:r>
      <w:r w:rsidRPr="00267C17">
        <w:rPr>
          <w:rFonts w:ascii="Times New Roman" w:eastAsia="Times New Roman" w:hAnsi="Times New Roman" w:cs="Times New Roman"/>
        </w:rPr>
        <w:fldChar w:fldCharType="separate"/>
      </w:r>
      <w:r w:rsidR="00A27D86" w:rsidRPr="00267C17">
        <w:t xml:space="preserve">Figure </w:t>
      </w:r>
      <w:r w:rsidR="00A27D86">
        <w:rPr>
          <w:noProof/>
        </w:rPr>
        <w:t>6</w:t>
      </w:r>
      <w:r w:rsidRPr="00267C17">
        <w:rPr>
          <w:rFonts w:ascii="Times New Roman" w:eastAsia="Times New Roman" w:hAnsi="Times New Roman" w:cs="Times New Roman"/>
        </w:rPr>
        <w:fldChar w:fldCharType="end"/>
      </w:r>
      <w:r w:rsidRPr="00267C17">
        <w:rPr>
          <w:rFonts w:ascii="Times New Roman" w:eastAsia="Times New Roman" w:hAnsi="Times New Roman" w:cs="Times New Roman"/>
        </w:rPr>
        <w:t xml:space="preserve">) </w:t>
      </w:r>
      <w:r w:rsidR="00284A71" w:rsidRPr="00284A71">
        <w:rPr>
          <w:rFonts w:ascii="Times New Roman" w:eastAsia="Times New Roman" w:hAnsi="Times New Roman" w:cs="Times New Roman"/>
        </w:rPr>
        <w:t>confirmed progressive carbonation under all investigated conditions, with wollastonite content decreasing and calcite content increasing with reaction time, supporting the TGA-based conversion trends. The extent of phase evolution was strongly temperature-dependent: only minor changes occurred at 25°C, moderate transformation at 45°C, and substantially greater calcite formation at 60°C, 75°C, and especially 90°C.</w:t>
      </w:r>
    </w:p>
    <w:p w14:paraId="16AB5091" w14:textId="2DC541B8" w:rsidR="00284A71" w:rsidRPr="00284A71" w:rsidRDefault="00284A71" w:rsidP="000C78A0">
      <w:pPr>
        <w:pStyle w:val="BodyText"/>
        <w:spacing w:line="360" w:lineRule="auto"/>
        <w:jc w:val="both"/>
        <w:rPr>
          <w:rFonts w:ascii="Times New Roman" w:eastAsia="Times New Roman" w:hAnsi="Times New Roman" w:cs="Times New Roman"/>
        </w:rPr>
      </w:pPr>
      <w:r w:rsidRPr="00284A71">
        <w:rPr>
          <w:rFonts w:ascii="Times New Roman" w:eastAsia="Times New Roman" w:hAnsi="Times New Roman" w:cs="Times New Roman"/>
        </w:rPr>
        <w:t>Calcite crystallite size increased with both reaction time and temperature, consistent with previous findings for carbonation systems</w:t>
      </w:r>
      <w:r w:rsidR="009C7516">
        <w:rPr>
          <w:rFonts w:ascii="Times New Roman" w:eastAsia="Times New Roman" w:hAnsi="Times New Roman" w:cs="Times New Roman"/>
        </w:rPr>
        <w:t xml:space="preserve"> </w:t>
      </w:r>
      <w:r w:rsidR="001931C6">
        <w:rPr>
          <w:rFonts w:ascii="Times New Roman" w:eastAsia="Times New Roman" w:hAnsi="Times New Roman" w:cs="Times New Roman"/>
        </w:rPr>
        <w:fldChar w:fldCharType="begin"/>
      </w:r>
      <w:r w:rsidR="000C78A0">
        <w:rPr>
          <w:rFonts w:ascii="Times New Roman" w:eastAsia="Times New Roman" w:hAnsi="Times New Roman" w:cs="Times New Roman"/>
        </w:rPr>
        <w:instrText xml:space="preserve"> ADDIN ZOTERO_ITEM CSL_CITATION {"citationID":"PWw2fDGc","properties":{"unsorted":false,"formattedCitation":"[31\\uc0\\u8211{}34]","plainCitation":"[31–34]","noteIndex":0},"citationItems":[{"id":338,"uris":["http://zotero.org/users/local/CPEr2PVS/items/PSZ9DLB5"],"itemData":{"id":338,"type":"article-journal","container-title":"Cement and Concrete Composites","DOI":"10.1016/j.cemconcomp.2023.105307","ISSN":"09589465","journalAbbreviation":"Cement and Concrete Composites","language":"en","page":"105307","source":"DOI.org (Crossref)","title":"Effect of conditions on wet carbonation products of recycled cement paste powder","volume":"144","author":[{"family":"Mao","given":"Yuguang"},{"family":"He","given":"Pingping"},{"family":"Drissi","given":"Sarra"},{"family":"Zhang","given":"Jian"},{"family":"Hu","given":"Xiang"},{"family":"Shi","given":"Caijun"}],"issued":{"date-parts":[["2023",11]]}}},{"id":382,"uris":["http://zotero.org/users/local/CPEr2PVS/items/BBAXW9MK"],"itemData":{"id":382,"type":"article","abstract":"Calcium silicate  minerals, including wollastonite, are considered promising feedstocks for mineral carbonation, particularly for applications in low-carbon building and construction materials; however, the mechanisms governing their behavior under near-ambient wet conditions are not yet fully understood. This study examines the mechanistic influence of specific operational parameters on wollastonite wet carbonation under additive-free, near-ambient conditions. Two representative carbonated samples, exhibiting low (approximately 6 %) and high (approximately 50 %) carbonation efficiencies, were selected from a systematic screening for detailed analysis. These samples exemplify contrasting regimes of gas-liquid and solid-liquid mass transfer, primarily influenced by CO₂ flow rate and agitation speed. An integrated characterization strategy, incorporating XRF, TGA, XRD, BET, Pycnometry, and SEM-EDX, along with time-resolved kinetic model fitting, was employed. Phase and microstructural analyses reveal limited carbonate formation and sparse, discontinuous precipitates under mass-transfer-limited conditions, whereas extensive calcite precipitation and coalescing intergranular carbonate domains develop when mass transfer is enhanced. Variations in specific surface area, skeletal density, and thermal decomposition behavior correspond to progressive carbonate maturation during the reaction. Kinetic analysis of independent batch experiments at varying carbonation times indicates that both the Avrami model and the surface-reaction-controlled shrinking-core model accurately describe the reaction from the initial stages and remain applicable throughout the process. At extended reaction times, the diffusion-controlled shrinking-core model fits the data, reflecting the increasing significance of diffusional resistance as a carbonate-silica product layer forms.These findings establish a mechanistic link between operating conditions and reaction pathways during near-ambient wet wollastonite carbonation.","DOI":"10.2139/ssrn.6672664","publisher":"SSRN","source":"DOI.org (Crossref)","title":"Regimes in Wet Wollastonite Carbonation: A Comparative Kinetics and Multi-Technique Investigation​","title-short":"Regimes in Wet Wollastonite Carbonation","URL":"https://www.ssrn.com/abstract=6672664","author":[{"family":"Homaee","given":"Sahra"},{"family":"Moeckel","given":"Robert"},{"family":"Ebert","given":"Doreen"},{"family":"Rudolph","given":"Martin"}],"accessed":{"date-parts":[["2026",5,9]]},"issued":{"date-parts":[["2026"]]}}},{"id":400,"uris":["http://zotero.org/users/local/CPEr2PVS/items/8IHPLRDJ"],"itemData":{"id":400,"type":"article-journal","container-title":"Journal of Building Engineering","DOI":"10.1016/j.jobe.2022.104526","ISSN":"23527102","journalAbbreviation":"Journal of Building Engineering","language":"en","page":"104526","source":"DOI.org (Crossref)","title":"High-temperature CO2 for accelerating the carbonation of recycled concrete fines","volume":"52","author":[{"family":"Wu","given":"Yuqing"},{"family":"Mehdizadeh","given":"Hamideh"},{"family":"Mo","given":"Kim Hung"},{"family":"Ling","given":"Tung-Chai"}],"issued":{"date-parts":[["2022",7]]}}},{"id":336,"uris":["http://zotero.org/users/local/CPEr2PVS/items/YWNCDRVK"],"itemData":{"id":336,"type":"article-journal","abstract":"Calcium sulfoaluminate (CSA) cement, as a type of low-carbon cement, can contribute to further reduction in carbon emissions with carbonation technologies. However, the detailed microstructure development of CSA cement during the carbonation process has been rarely analyzed. In this paper, wet carbonation was applied to CSA cement to investigate the microstructure evolution of carbonation products and carbon absorption capacity of CSA cement by means of pH measurement, X-ray diffraction (XRD) measurement, thermogravimetric (TG) measurement, Fourier-transformed infrared spectroscopy (FT-IR) measurement and scanning electron microscope measurement. During the carbonation process, the formed ettringite product and the dicalcium silicate clinker were carbonated immediately to generate calcium carbonate crystals, silica gel and aluminum hydroxide (AH3) gel. With the trend of pH increasing first and notably decreasing later, the coupling interaction between the hydration and carbonation reactions of CSA cement was revealed. From the XRD and TG results, three types of calcium carbonate crystal forms (calcite, vaterite and aragonite) were detected, and the content of calcium carbonate increased with the increase in carbonation time. FT-IR analysis further confirmed the existence of calcium carbonate, silica gel and AH3 gel with their characteristic vibrations. Moreover, the microstructure of carbonation products with different morphologies was observed. The application of wet carbonation to CSA cement provides a more comprehensive insight to the carbonation mechanism of this low-carbon cement.","container-title":"Buildings","DOI":"10.3390/buildings14020343","ISSN":"2075-5309","issue":"2","journalAbbreviation":"Buildings","language":"en","page":"343","source":"DOI.org (Crossref)","title":"Microstructural Evolution of Calcium Sulfoaluminate Cement during the Wet-Carbonation Process","volume":"14","author":[{"family":"Zhang","given":"Yangyang"},{"family":"Yang","given":"Hang"},{"family":"Zhang","given":"Qunli"},{"family":"Qian","given":"Quan"},{"family":"Zhang","given":"Chengwei"},{"family":"Wu","given":"Kai"},{"family":"Shen","given":"Peiliang"}],"issued":{"date-parts":[["2024",1,26]]}}}],"schema":"https://github.com/citation-style-language/schema/raw/master/csl-citation.json"} </w:instrText>
      </w:r>
      <w:r w:rsidR="001931C6">
        <w:rPr>
          <w:rFonts w:ascii="Times New Roman" w:eastAsia="Times New Roman" w:hAnsi="Times New Roman" w:cs="Times New Roman"/>
        </w:rPr>
        <w:fldChar w:fldCharType="separate"/>
      </w:r>
      <w:r w:rsidR="000C78A0" w:rsidRPr="000C78A0">
        <w:rPr>
          <w:rFonts w:cs="Times New Roman"/>
        </w:rPr>
        <w:t>[31–34]</w:t>
      </w:r>
      <w:r w:rsidR="001931C6">
        <w:rPr>
          <w:rFonts w:ascii="Times New Roman" w:eastAsia="Times New Roman" w:hAnsi="Times New Roman" w:cs="Times New Roman"/>
        </w:rPr>
        <w:fldChar w:fldCharType="end"/>
      </w:r>
      <w:r w:rsidR="001931C6" w:rsidRPr="00904D04">
        <w:rPr>
          <w:rFonts w:ascii="Times New Roman" w:eastAsia="Times New Roman" w:hAnsi="Times New Roman" w:cs="Times New Roman"/>
        </w:rPr>
        <w:t xml:space="preserve">. </w:t>
      </w:r>
      <w:r w:rsidR="001931C6" w:rsidRPr="00284A71">
        <w:rPr>
          <w:rFonts w:ascii="Times New Roman" w:eastAsia="Times New Roman" w:hAnsi="Times New Roman" w:cs="Times New Roman"/>
        </w:rPr>
        <w:t xml:space="preserve">This structural maturation provides a physical </w:t>
      </w:r>
      <w:r w:rsidR="001931C6" w:rsidRPr="00284A71">
        <w:rPr>
          <w:rFonts w:ascii="Times New Roman" w:eastAsia="Times New Roman" w:hAnsi="Times New Roman" w:cs="Times New Roman"/>
        </w:rPr>
        <w:lastRenderedPageBreak/>
        <w:t xml:space="preserve">explanation for the shift in the </w:t>
      </w:r>
      <w:proofErr w:type="spellStart"/>
      <w:r w:rsidR="001931C6" w:rsidRPr="00284A71">
        <w:rPr>
          <w:rFonts w:ascii="Times New Roman" w:eastAsia="Times New Roman" w:hAnsi="Times New Roman" w:cs="Times New Roman"/>
        </w:rPr>
        <w:t>Avrami</w:t>
      </w:r>
      <w:proofErr w:type="spellEnd"/>
      <w:r w:rsidR="001931C6" w:rsidRPr="00284A71">
        <w:rPr>
          <w:rFonts w:ascii="Times New Roman" w:eastAsia="Times New Roman" w:hAnsi="Times New Roman" w:cs="Times New Roman"/>
        </w:rPr>
        <w:t xml:space="preserve"> exponent n: larger crystallites at 90°C correspond to the transition toward n ≈ 0.99, indicative of less-constrained interface-controlled growth, while smaller crystallites at lower temperatures are consistent with the restricted growth environment reflected by the sub-diffusion exponent n = 0.32 [23,38]. DTG results </w:t>
      </w:r>
      <w:r w:rsidR="001931C6" w:rsidRPr="00904D04">
        <w:rPr>
          <w:rFonts w:ascii="Times New Roman" w:eastAsia="Times New Roman" w:hAnsi="Times New Roman" w:cs="Times New Roman"/>
        </w:rPr>
        <w:t xml:space="preserve">(Figure 11) </w:t>
      </w:r>
      <w:r w:rsidR="001931C6" w:rsidRPr="00284A71">
        <w:rPr>
          <w:rFonts w:ascii="Times New Roman" w:eastAsia="Times New Roman" w:hAnsi="Times New Roman" w:cs="Times New Roman"/>
        </w:rPr>
        <w:t>further support this interpretation, with</w:t>
      </w:r>
      <w:r w:rsidR="001931C6" w:rsidRPr="00904D04">
        <w:rPr>
          <w:rFonts w:ascii="Times New Roman" w:eastAsia="Times New Roman" w:hAnsi="Times New Roman" w:cs="Times New Roman"/>
        </w:rPr>
        <w:t xml:space="preserve"> (</w:t>
      </w:r>
      <w:r w:rsidR="001931C6">
        <w:rPr>
          <w:rFonts w:ascii="Times New Roman" w:eastAsia="Times New Roman" w:hAnsi="Times New Roman" w:cs="Times New Roman"/>
        </w:rPr>
        <w:t>T(</w:t>
      </w:r>
      <w:proofErr w:type="spellStart"/>
      <w:r w:rsidR="001931C6" w:rsidRPr="001A34E0">
        <w:rPr>
          <w:rFonts w:ascii="Times New Roman" w:eastAsia="Times New Roman" w:hAnsi="Times New Roman" w:cs="Times New Roman"/>
        </w:rPr>
        <w:t>DTG</w:t>
      </w:r>
      <w:r w:rsidR="001931C6" w:rsidRPr="001A34E0">
        <w:rPr>
          <w:rFonts w:ascii="Times New Roman" w:eastAsia="Times New Roman" w:hAnsi="Times New Roman" w:cs="Times New Roman"/>
          <w:vertAlign w:val="subscript"/>
        </w:rPr>
        <w:t>max</w:t>
      </w:r>
      <w:proofErr w:type="spellEnd"/>
      <w:r w:rsidR="001931C6" w:rsidRPr="00997BFA">
        <w:rPr>
          <w:rFonts w:ascii="Times New Roman" w:eastAsia="Times New Roman" w:hAnsi="Times New Roman" w:cs="Times New Roman"/>
        </w:rPr>
        <w:t>)</w:t>
      </w:r>
      <w:r w:rsidR="001931C6">
        <w:rPr>
          <w:rFonts w:ascii="Times New Roman" w:eastAsia="Times New Roman" w:hAnsi="Times New Roman" w:cs="Times New Roman"/>
        </w:rPr>
        <w:t xml:space="preserve">) </w:t>
      </w:r>
      <w:r w:rsidR="001931C6" w:rsidRPr="00284A71">
        <w:rPr>
          <w:rFonts w:ascii="Times New Roman" w:eastAsia="Times New Roman" w:hAnsi="Times New Roman" w:cs="Times New Roman"/>
        </w:rPr>
        <w:t>shifting to higher values with increasing reaction time and temperature, indicating development of a more thermally stable and structurally ordered carbonate phase, consistent with earlier carbonation investigations</w:t>
      </w:r>
      <w:r w:rsidR="009C7516">
        <w:rPr>
          <w:rFonts w:ascii="Times New Roman" w:eastAsia="Times New Roman" w:hAnsi="Times New Roman" w:cs="Times New Roman"/>
        </w:rPr>
        <w:t xml:space="preserve"> </w:t>
      </w:r>
      <w:r w:rsidR="001931C6">
        <w:rPr>
          <w:rFonts w:ascii="Times New Roman" w:eastAsia="Times New Roman" w:hAnsi="Times New Roman" w:cs="Times New Roman"/>
        </w:rPr>
        <w:fldChar w:fldCharType="begin"/>
      </w:r>
      <w:r w:rsidR="000C78A0">
        <w:rPr>
          <w:rFonts w:ascii="Times New Roman" w:eastAsia="Times New Roman" w:hAnsi="Times New Roman" w:cs="Times New Roman"/>
        </w:rPr>
        <w:instrText xml:space="preserve"> ADDIN ZOTERO_ITEM CSL_CITATION {"citationID":"GfnHNmBH","properties":{"unsorted":false,"formattedCitation":"[31,35]","plainCitation":"[31,35]","noteIndex":0},"citationItems":[{"id":382,"uris":["http://zotero.org/users/local/CPEr2PVS/items/BBAXW9MK"],"itemData":{"id":382,"type":"article","abstract":"Calcium silicate  minerals, including wollastonite, are considered promising feedstocks for mineral carbonation, particularly for applications in low-carbon building and construction materials; however, the mechanisms governing their behavior under near-ambient wet conditions are not yet fully understood. This study examines the mechanistic influence of specific operational parameters on wollastonite wet carbonation under additive-free, near-ambient conditions. Two representative carbonated samples, exhibiting low (approximately 6 %) and high (approximately 50 %) carbonation efficiencies, were selected from a systematic screening for detailed analysis. These samples exemplify contrasting regimes of gas-liquid and solid-liquid mass transfer, primarily influenced by CO₂ flow rate and agitation speed. An integrated characterization strategy, incorporating XRF, TGA, XRD, BET, Pycnometry, and SEM-EDX, along with time-resolved kinetic model fitting, was employed. Phase and microstructural analyses reveal limited carbonate formation and sparse, discontinuous precipitates under mass-transfer-limited conditions, whereas extensive calcite precipitation and coalescing intergranular carbonate domains develop when mass transfer is enhanced. Variations in specific surface area, skeletal density, and thermal decomposition behavior correspond to progressive carbonate maturation during the reaction. Kinetic analysis of independent batch experiments at varying carbonation times indicates that both the Avrami model and the surface-reaction-controlled shrinking-core model accurately describe the reaction from the initial stages and remain applicable throughout the process. At extended reaction times, the diffusion-controlled shrinking-core model fits the data, reflecting the increasing significance of diffusional resistance as a carbonate-silica product layer forms.These findings establish a mechanistic link between operating conditions and reaction pathways during near-ambient wet wollastonite carbonation.","DOI":"10.2139/ssrn.6672664","publisher":"SSRN","source":"DOI.org (Crossref)","title":"Regimes in Wet Wollastonite Carbonation: A Comparative Kinetics and Multi-Technique Investigation​","title-short":"Regimes in Wet Wollastonite Carbonation","URL":"https://www.ssrn.com/abstract=6672664","author":[{"family":"Homaee","given":"Sahra"},{"family":"Moeckel","given":"Robert"},{"family":"Ebert","given":"Doreen"},{"family":"Rudolph","given":"Martin"}],"accessed":{"date-parts":[["2026",5,9]]},"issued":{"date-parts":[["2026"]]}}},{"id":242,"uris":["http://zotero.org/users/local/CPEr2PVS/items/Q2VG3XWG"],"itemData":{"id":242,"type":"article-journal","abstract":"Wollastonite and other natural calcium silicates have received remarkable attention as sources for CO2 capture, and their potential application as construction materials have been investigated with promising results. Generally, the dissolution kinetics of wollastonite is mostly studied under high liquid-to-solid ratios of above 1000. However, the most efficient process to achieve maximum carbonation has proven elusive. Here, the effect of significantly lower liquid-to-solid ratio (10) on wet carbonation of wollastonite at ambient conditions was investigated using experimental and modelling techniques. Wet carbonation was carried out under free pH drift and the geochemical modelling was used to study the solution chemistry using phreeqc coupled with Minteq database. Geochemical modelling results revealed that the lower liquid-to-solid ratio hindered the carbonation of wollastonite due to solution equilibration. To achieve maximum carbonation, solution equilibrium was altered and carbonation was extended by CO2 dissolution up to 2 h. At optimal liquid-to-solid ratio, wet carbonation of wollastonite can be achieved with higher potential for carbon mineralization.","container-title":"Journal of CO2 Utilization","DOI":"10.1016/j.jcou.2025.103194","ISSN":"22129820","journalAbbreviation":"Journal of CO2 Utilization","language":"en","page":"103194","source":"DOI.org (Crossref)","title":"Wet carbonation of wollastonite with pH-modified solutions at ambient conditions: Insights from a geochemical model","title-short":"Wet carbonation of wollastonite with pH-modified solutions at ambient conditions","volume":"101","author":[{"family":"Allah","given":"Prince"},{"family":"Nguyen","given":"Hoang"},{"family":"Illikainen","given":"Mirja"},{"family":"Kinnunen","given":"Paivo"},{"family":"Perumal","given":"Priyadharshini"}],"issued":{"date-parts":[["2025",11]]}}}],"schema":"https://github.com/citation-style-language/schema/raw/master/csl-citation.json"} </w:instrText>
      </w:r>
      <w:r w:rsidR="001931C6">
        <w:rPr>
          <w:rFonts w:ascii="Times New Roman" w:eastAsia="Times New Roman" w:hAnsi="Times New Roman" w:cs="Times New Roman"/>
        </w:rPr>
        <w:fldChar w:fldCharType="separate"/>
      </w:r>
      <w:r w:rsidR="000C78A0" w:rsidRPr="000C78A0">
        <w:t>[31,35]</w:t>
      </w:r>
      <w:r w:rsidR="001931C6">
        <w:rPr>
          <w:rFonts w:ascii="Times New Roman" w:eastAsia="Times New Roman" w:hAnsi="Times New Roman" w:cs="Times New Roman"/>
        </w:rPr>
        <w:fldChar w:fldCharType="end"/>
      </w:r>
      <w:r w:rsidR="001931C6" w:rsidRPr="00904D04">
        <w:rPr>
          <w:rFonts w:ascii="Times New Roman" w:eastAsia="Times New Roman" w:hAnsi="Times New Roman" w:cs="Times New Roman"/>
        </w:rPr>
        <w:t>.</w:t>
      </w:r>
    </w:p>
    <w:p w14:paraId="6E5573CE" w14:textId="69073379" w:rsidR="00284A71" w:rsidRPr="00284A71" w:rsidRDefault="00FC7690" w:rsidP="00284A71">
      <w:pPr>
        <w:pStyle w:val="BodyText"/>
        <w:spacing w:line="360" w:lineRule="auto"/>
        <w:jc w:val="both"/>
        <w:rPr>
          <w:rFonts w:ascii="Times New Roman" w:eastAsia="Times New Roman" w:hAnsi="Times New Roman" w:cs="Times New Roman"/>
        </w:rPr>
      </w:pPr>
      <w:r w:rsidRPr="00904D04">
        <w:rPr>
          <w:rFonts w:ascii="Times New Roman" w:eastAsia="Times New Roman" w:hAnsi="Times New Roman" w:cs="Times New Roman"/>
        </w:rPr>
        <w:t>SEM</w:t>
      </w:r>
      <w:r w:rsidR="00284A71">
        <w:rPr>
          <w:rFonts w:ascii="Times New Roman" w:eastAsia="Times New Roman" w:hAnsi="Times New Roman" w:cs="Times New Roman"/>
        </w:rPr>
        <w:t xml:space="preserve"> </w:t>
      </w:r>
      <w:r w:rsidRPr="00904D04">
        <w:rPr>
          <w:rFonts w:ascii="Times New Roman" w:eastAsia="Times New Roman" w:hAnsi="Times New Roman" w:cs="Times New Roman"/>
        </w:rPr>
        <w:t>analysis (</w:t>
      </w:r>
      <w:r w:rsidR="009C7516">
        <w:rPr>
          <w:rFonts w:ascii="Times New Roman" w:eastAsia="Times New Roman" w:hAnsi="Times New Roman" w:cs="Times New Roman"/>
        </w:rPr>
        <w:fldChar w:fldCharType="begin"/>
      </w:r>
      <w:r w:rsidR="009C7516">
        <w:rPr>
          <w:rFonts w:ascii="Times New Roman" w:eastAsia="Times New Roman" w:hAnsi="Times New Roman" w:cs="Times New Roman"/>
        </w:rPr>
        <w:instrText xml:space="preserve"> REF _Ref228355166 \h </w:instrText>
      </w:r>
      <w:r w:rsidR="009C7516">
        <w:rPr>
          <w:rFonts w:ascii="Times New Roman" w:eastAsia="Times New Roman" w:hAnsi="Times New Roman" w:cs="Times New Roman"/>
        </w:rPr>
      </w:r>
      <w:r w:rsidR="009C7516">
        <w:rPr>
          <w:rFonts w:ascii="Times New Roman" w:eastAsia="Times New Roman" w:hAnsi="Times New Roman" w:cs="Times New Roman"/>
        </w:rPr>
        <w:fldChar w:fldCharType="separate"/>
      </w:r>
      <w:r w:rsidR="009C7516" w:rsidRPr="00267C17">
        <w:t xml:space="preserve">Figure </w:t>
      </w:r>
      <w:r w:rsidR="009C7516">
        <w:rPr>
          <w:noProof/>
        </w:rPr>
        <w:t>7</w:t>
      </w:r>
      <w:r w:rsidR="009C7516">
        <w:rPr>
          <w:rFonts w:ascii="Times New Roman" w:eastAsia="Times New Roman" w:hAnsi="Times New Roman" w:cs="Times New Roman"/>
        </w:rPr>
        <w:fldChar w:fldCharType="end"/>
      </w:r>
      <w:r w:rsidRPr="00904D04">
        <w:rPr>
          <w:rFonts w:ascii="Times New Roman" w:eastAsia="Times New Roman" w:hAnsi="Times New Roman" w:cs="Times New Roman"/>
        </w:rPr>
        <w:t xml:space="preserve">) </w:t>
      </w:r>
      <w:r w:rsidR="00284A71" w:rsidRPr="00284A71">
        <w:rPr>
          <w:rFonts w:ascii="Times New Roman" w:eastAsia="Times New Roman" w:hAnsi="Times New Roman" w:cs="Times New Roman"/>
        </w:rPr>
        <w:t>establishes a connection between kinetic regimes and physical product development. At 25°C, minimal surface modification and sparse carbonate precipitation are observed, with wollastonite particles largely retaining their original morphology, consistent with the low n value and high Ea. At 45°C and 60°C, carbonate coverage becomes more pronounced though crystal development remains moderate, consistent with the diffusion-influenced intermediate regime (n = 0.57–0.67). At 75°C and 90°C, extensive surface precipitation and well-defined calcite morphologies are observed.</w:t>
      </w:r>
    </w:p>
    <w:p w14:paraId="5F488FEF" w14:textId="77777777" w:rsidR="00284A71" w:rsidRPr="00284A71" w:rsidRDefault="00284A71" w:rsidP="00284A71">
      <w:pPr>
        <w:pStyle w:val="BodyText"/>
        <w:spacing w:line="360" w:lineRule="auto"/>
        <w:jc w:val="both"/>
        <w:rPr>
          <w:rFonts w:ascii="Times New Roman" w:eastAsia="Times New Roman" w:hAnsi="Times New Roman" w:cs="Times New Roman"/>
        </w:rPr>
      </w:pPr>
      <w:r w:rsidRPr="00284A71">
        <w:rPr>
          <w:rFonts w:ascii="Times New Roman" w:eastAsia="Times New Roman" w:hAnsi="Times New Roman" w:cs="Times New Roman"/>
        </w:rPr>
        <w:t>Collectively, XRD, DTG, and SEM results demonstrate that increasing temperature enhances both the extent of wollastonite-to-calcite transformation and the degree of structural development, with the progression from sparse precipitation to well-defined crystalline growth closely paralleling the increase in n from 0.32 to 0.99, confirming a thermally driven transition from a diffusion-limited to a more rapid interface-influenced growth regime.</w:t>
      </w:r>
    </w:p>
    <w:p w14:paraId="131A8A05" w14:textId="7DC6A574" w:rsidR="00107F53" w:rsidRPr="00267C17" w:rsidRDefault="007C357D" w:rsidP="00284A71">
      <w:pPr>
        <w:pStyle w:val="BodyText"/>
        <w:spacing w:line="360" w:lineRule="auto"/>
        <w:jc w:val="both"/>
      </w:pPr>
      <w:r w:rsidRPr="00267C17">
        <w:rPr>
          <w:noProof/>
        </w:rPr>
        <w:drawing>
          <wp:inline distT="0" distB="0" distL="0" distR="0" wp14:anchorId="72140077" wp14:editId="47D2A8BA">
            <wp:extent cx="5972810" cy="2534920"/>
            <wp:effectExtent l="0" t="0" r="8890" b="0"/>
            <wp:docPr id="42" name="Picture 42" descr="A group of green and yellow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group of green and yellow lines&#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72810" cy="2534920"/>
                    </a:xfrm>
                    <a:prstGeom prst="rect">
                      <a:avLst/>
                    </a:prstGeom>
                  </pic:spPr>
                </pic:pic>
              </a:graphicData>
            </a:graphic>
          </wp:inline>
        </w:drawing>
      </w:r>
    </w:p>
    <w:p w14:paraId="7029A9C9" w14:textId="6B7B8D2E" w:rsidR="00107F53" w:rsidRPr="00267C17" w:rsidRDefault="00107F53" w:rsidP="007C357D">
      <w:pPr>
        <w:pStyle w:val="Caption"/>
        <w:jc w:val="center"/>
      </w:pPr>
      <w:bookmarkStart w:id="10" w:name="_Ref228354993"/>
      <w:r w:rsidRPr="00267C17">
        <w:lastRenderedPageBreak/>
        <w:t xml:space="preserve">Figure </w:t>
      </w:r>
      <w:r w:rsidRPr="00267C17">
        <w:fldChar w:fldCharType="begin"/>
      </w:r>
      <w:r w:rsidRPr="00267C17">
        <w:instrText xml:space="preserve"> SEQ Figure \* ARABIC </w:instrText>
      </w:r>
      <w:r w:rsidRPr="00267C17">
        <w:fldChar w:fldCharType="separate"/>
      </w:r>
      <w:r w:rsidR="00A27D86">
        <w:rPr>
          <w:noProof/>
        </w:rPr>
        <w:t>6</w:t>
      </w:r>
      <w:r w:rsidRPr="00267C17">
        <w:fldChar w:fldCharType="end"/>
      </w:r>
      <w:bookmarkEnd w:id="10"/>
      <w:r w:rsidR="001F7DBB">
        <w:t>:</w:t>
      </w:r>
      <w:r w:rsidRPr="00267C17">
        <w:t xml:space="preserve"> </w:t>
      </w:r>
      <w:r w:rsidR="007C357D" w:rsidRPr="00267C17">
        <w:t xml:space="preserve">Combined representation of quantitative phase evolution and calcite crystallite-size development during wet wollastonite carbonation at different temperatures. The colored fields show the relative fractions of wollastonite and calcite as a function of carbonation time, while the </w:t>
      </w:r>
      <w:r w:rsidR="001F7DBB">
        <w:t>circles’</w:t>
      </w:r>
      <w:r w:rsidR="001F7DBB" w:rsidRPr="00267C17">
        <w:t xml:space="preserve"> </w:t>
      </w:r>
      <w:r w:rsidR="007C357D" w:rsidRPr="00267C17">
        <w:t>size represents the corresponding calcite crystallite size.</w:t>
      </w:r>
    </w:p>
    <w:p w14:paraId="2F29C93D" w14:textId="77777777" w:rsidR="002D1231" w:rsidRPr="00267C17" w:rsidRDefault="002D1231" w:rsidP="002D1231">
      <w:pPr>
        <w:pStyle w:val="BodyText"/>
      </w:pPr>
    </w:p>
    <w:p w14:paraId="317AFE7C" w14:textId="369C19F7" w:rsidR="00741A4F" w:rsidRPr="00267C17" w:rsidRDefault="00741A4F" w:rsidP="00FA481B">
      <w:pPr>
        <w:pStyle w:val="BodyText"/>
      </w:pPr>
      <w:r w:rsidRPr="00267C17">
        <w:rPr>
          <w:noProof/>
        </w:rPr>
        <w:drawing>
          <wp:inline distT="0" distB="0" distL="0" distR="0" wp14:anchorId="1D9CE5E9" wp14:editId="76A2BD3A">
            <wp:extent cx="5972810" cy="6996430"/>
            <wp:effectExtent l="0" t="0" r="8890" b="0"/>
            <wp:docPr id="63" name="Picture 63" descr="A collage of images of cryst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collage of images of crystals&#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72810" cy="6996430"/>
                    </a:xfrm>
                    <a:prstGeom prst="rect">
                      <a:avLst/>
                    </a:prstGeom>
                  </pic:spPr>
                </pic:pic>
              </a:graphicData>
            </a:graphic>
          </wp:inline>
        </w:drawing>
      </w:r>
    </w:p>
    <w:p w14:paraId="49FC6F04" w14:textId="77777777" w:rsidR="00741A4F" w:rsidRPr="00267C17" w:rsidRDefault="00741A4F" w:rsidP="00FA481B">
      <w:pPr>
        <w:pStyle w:val="BodyText"/>
      </w:pPr>
    </w:p>
    <w:p w14:paraId="6147D7DA" w14:textId="118EE3CC" w:rsidR="00010188" w:rsidRPr="00010188" w:rsidRDefault="00741A4F" w:rsidP="009C08F9">
      <w:pPr>
        <w:pStyle w:val="Caption"/>
        <w:jc w:val="center"/>
      </w:pPr>
      <w:bookmarkStart w:id="11" w:name="_Ref228355166"/>
      <w:r w:rsidRPr="00267C17">
        <w:lastRenderedPageBreak/>
        <w:t xml:space="preserve">Figure </w:t>
      </w:r>
      <w:r w:rsidRPr="00267C17">
        <w:fldChar w:fldCharType="begin"/>
      </w:r>
      <w:r w:rsidRPr="00267C17">
        <w:instrText xml:space="preserve"> SEQ Figure \* ARABIC </w:instrText>
      </w:r>
      <w:r w:rsidRPr="00267C17">
        <w:fldChar w:fldCharType="separate"/>
      </w:r>
      <w:r w:rsidR="00A27D86">
        <w:rPr>
          <w:noProof/>
        </w:rPr>
        <w:t>7</w:t>
      </w:r>
      <w:r w:rsidRPr="00267C17">
        <w:fldChar w:fldCharType="end"/>
      </w:r>
      <w:bookmarkEnd w:id="11"/>
      <w:r w:rsidR="001F7DBB">
        <w:t xml:space="preserve">: </w:t>
      </w:r>
      <w:r w:rsidRPr="00267C17">
        <w:t>SEM micrographs of wollastonite carbonated under different temperatures and reaction times, illustrating the progressive evolution of carbonate morphology during wet carbonation. Images are shown for 25</w:t>
      </w:r>
      <w:r w:rsidR="00EA6FEC" w:rsidRPr="00267C17">
        <w:t>°C</w:t>
      </w:r>
      <w:r w:rsidRPr="00267C17">
        <w:t>, 45</w:t>
      </w:r>
      <w:r w:rsidR="00EA6FEC" w:rsidRPr="00267C17">
        <w:t>°C</w:t>
      </w:r>
      <w:r w:rsidRPr="00267C17">
        <w:t>, 60</w:t>
      </w:r>
      <w:r w:rsidR="00EA6FEC" w:rsidRPr="00267C17">
        <w:t>°C</w:t>
      </w:r>
      <w:r w:rsidRPr="00267C17">
        <w:t>, 75</w:t>
      </w:r>
      <w:r w:rsidR="00EA6FEC" w:rsidRPr="00267C17">
        <w:t>°C</w:t>
      </w:r>
      <w:r w:rsidRPr="00267C17">
        <w:t>, and 90°C at 20</w:t>
      </w:r>
      <w:r w:rsidR="00EA6FEC" w:rsidRPr="00267C17">
        <w:t> min</w:t>
      </w:r>
      <w:r w:rsidRPr="00267C17">
        <w:t>, 75</w:t>
      </w:r>
      <w:r w:rsidR="00EA6FEC" w:rsidRPr="00267C17">
        <w:t> min</w:t>
      </w:r>
      <w:r w:rsidRPr="00267C17">
        <w:t xml:space="preserve">, and </w:t>
      </w:r>
      <w:r w:rsidR="001F7DBB" w:rsidRPr="00267C17">
        <w:t>180</w:t>
      </w:r>
      <w:r w:rsidR="001F7DBB">
        <w:t> </w:t>
      </w:r>
      <w:r w:rsidRPr="00267C17">
        <w:t>min, highlighting the combined influence of temperature and time on surface coverage, carbonate precipitation, and crystal development</w:t>
      </w:r>
    </w:p>
    <w:p w14:paraId="42311955" w14:textId="6C0975B2" w:rsidR="00010188" w:rsidRDefault="008A709F" w:rsidP="00010188">
      <w:pPr>
        <w:pStyle w:val="Heading2"/>
        <w:rPr>
          <w:color w:val="auto"/>
        </w:rPr>
      </w:pPr>
      <w:r w:rsidRPr="00267C17">
        <w:rPr>
          <w:color w:val="auto"/>
        </w:rPr>
        <w:t>AFM investigation of carbonation-induced surface evolution at 60</w:t>
      </w:r>
      <w:r w:rsidR="00010188">
        <w:rPr>
          <w:color w:val="auto"/>
        </w:rPr>
        <w:t>°C</w:t>
      </w:r>
      <w:r w:rsidRPr="00267C17">
        <w:rPr>
          <w:color w:val="auto"/>
        </w:rPr>
        <w:t xml:space="preserve"> and 90°C</w:t>
      </w:r>
    </w:p>
    <w:p w14:paraId="5532CFD2" w14:textId="13DC3A1E" w:rsidR="00C46E80" w:rsidRPr="00C46E80" w:rsidRDefault="0066471C" w:rsidP="00C46E80">
      <w:pPr>
        <w:pStyle w:val="BodyText"/>
        <w:spacing w:line="360" w:lineRule="auto"/>
        <w:jc w:val="both"/>
      </w:pPr>
      <w:r>
        <w:t>Optical microscopy (</w:t>
      </w:r>
      <w:r w:rsidR="00760153">
        <w:fldChar w:fldCharType="begin"/>
      </w:r>
      <w:r w:rsidR="00760153">
        <w:instrText xml:space="preserve"> REF _Ref229560847 \h </w:instrText>
      </w:r>
      <w:r w:rsidR="00760153">
        <w:fldChar w:fldCharType="separate"/>
      </w:r>
      <w:r w:rsidR="00A27D86">
        <w:t xml:space="preserve">Figure </w:t>
      </w:r>
      <w:r w:rsidR="00A27D86">
        <w:rPr>
          <w:noProof/>
        </w:rPr>
        <w:t>8</w:t>
      </w:r>
      <w:r w:rsidR="00760153">
        <w:fldChar w:fldCharType="end"/>
      </w:r>
      <w:r w:rsidR="00760153">
        <w:t> (a-d)</w:t>
      </w:r>
      <w:r>
        <w:t>) and atomic force microscopy (AFM) (</w:t>
      </w:r>
      <w:r>
        <w:fldChar w:fldCharType="begin"/>
      </w:r>
      <w:r>
        <w:instrText xml:space="preserve"> REF _Ref229560847 \h </w:instrText>
      </w:r>
      <w:r>
        <w:fldChar w:fldCharType="separate"/>
      </w:r>
      <w:r w:rsidR="00A27D86">
        <w:t xml:space="preserve">Figure </w:t>
      </w:r>
      <w:r w:rsidR="00A27D86">
        <w:rPr>
          <w:noProof/>
        </w:rPr>
        <w:t>8</w:t>
      </w:r>
      <w:r>
        <w:fldChar w:fldCharType="end"/>
      </w:r>
      <w:r w:rsidR="00760153">
        <w:t> (e-j)</w:t>
      </w:r>
      <w:r>
        <w:t xml:space="preserve">) </w:t>
      </w:r>
      <w:r w:rsidR="00C46E80" w:rsidRPr="00C46E80">
        <w:t xml:space="preserve">were employed to analyze embedded samples carbonated at 60°C and 90°C, representing distinct kinetic regimes. Optical microscopy revealed pronounced color and contrast variations and cleavage-like and locally fractured features, more prominent in carbonated samples than in the polished unreacted feed, confirming that carbonation modifies the wollastonite surface and affects not only surface precipitation but also the structural integrity of the original mineral particles. Comparison with SEM observations </w:t>
      </w:r>
      <w:r w:rsidR="00BE079F">
        <w:t>(</w:t>
      </w:r>
      <w:r>
        <w:fldChar w:fldCharType="begin"/>
      </w:r>
      <w:r>
        <w:instrText xml:space="preserve"> REF _Ref228349954 \h </w:instrText>
      </w:r>
      <w:r>
        <w:fldChar w:fldCharType="separate"/>
      </w:r>
      <w:r w:rsidR="00A27D86" w:rsidRPr="00267C17">
        <w:t xml:space="preserve">Figure </w:t>
      </w:r>
      <w:r w:rsidR="00A27D86">
        <w:rPr>
          <w:noProof/>
        </w:rPr>
        <w:t>5</w:t>
      </w:r>
      <w:r>
        <w:fldChar w:fldCharType="end"/>
      </w:r>
      <w:r>
        <w:t xml:space="preserve">) </w:t>
      </w:r>
      <w:r w:rsidR="00C46E80" w:rsidRPr="00C46E80">
        <w:t>further supports this interpretation.</w:t>
      </w:r>
    </w:p>
    <w:p w14:paraId="32542AFD" w14:textId="02AE48CD" w:rsidR="00C46E80" w:rsidRPr="00C46E80" w:rsidRDefault="00C46E80" w:rsidP="000C78A0">
      <w:pPr>
        <w:pStyle w:val="BodyText"/>
        <w:spacing w:line="360" w:lineRule="auto"/>
        <w:jc w:val="both"/>
      </w:pPr>
      <w:r w:rsidRPr="00C46E80">
        <w:t>These observations can be interpreted through two complementary and potentially coexisting hypotheses. The first attributes the altered optical contrast and surface appearance to formation of a heterogeneous passivating layer comprising silica-rich gel-like phases or precipitated calcite, which progressively reduces accessibility of the reacting interface and contributes to diffusion-related limitations identified in the kinetic analysis. The second, not mutually exclusive, interpretation is that subsurface carbonation leads to cleavage, whereby carbonic acid penetrates below the original surface and promotes calcite formation within the particle. Because calcite has a lower density than wollastonite</w:t>
      </w:r>
      <w:r w:rsidR="00BE079F">
        <w:t xml:space="preserve"> </w:t>
      </w:r>
      <w:r w:rsidR="0066471C">
        <w:fldChar w:fldCharType="begin"/>
      </w:r>
      <w:r w:rsidR="000C78A0">
        <w:instrText xml:space="preserve"> ADDIN ZOTERO_ITEM CSL_CITATION {"citationID":"87LFVYUp","properties":{"unsorted":false,"formattedCitation":"[31]","plainCitation":"[31]","noteIndex":0},"citationItems":[{"id":382,"uris":["http://zotero.org/users/local/CPEr2PVS/items/BBAXW9MK"],"itemData":{"id":382,"type":"article","abstract":"Calcium silicate  minerals, including wollastonite, are considered promising feedstocks for mineral carbonation, particularly for applications in low-carbon building and construction materials; however, the mechanisms governing their behavior under near-ambient wet conditions are not yet fully understood. This study examines the mechanistic influence of specific operational parameters on wollastonite wet carbonation under additive-free, near-ambient conditions. Two representative carbonated samples, exhibiting low (approximately 6 %) and high (approximately 50 %) carbonation efficiencies, were selected from a systematic screening for detailed analysis. These samples exemplify contrasting regimes of gas-liquid and solid-liquid mass transfer, primarily influenced by CO₂ flow rate and agitation speed. An integrated characterization strategy, incorporating XRF, TGA, XRD, BET, Pycnometry, and SEM-EDX, along with time-resolved kinetic model fitting, was employed. Phase and microstructural analyses reveal limited carbonate formation and sparse, discontinuous precipitates under mass-transfer-limited conditions, whereas extensive calcite precipitation and coalescing intergranular carbonate domains develop when mass transfer is enhanced. Variations in specific surface area, skeletal density, and thermal decomposition behavior correspond to progressive carbonate maturation during the reaction. Kinetic analysis of independent batch experiments at varying carbonation times indicates that both the Avrami model and the surface-reaction-controlled shrinking-core model accurately describe the reaction from the initial stages and remain applicable throughout the process. At extended reaction times, the diffusion-controlled shrinking-core model fits the data, reflecting the increasing significance of diffusional resistance as a carbonate-silica product layer forms.These findings establish a mechanistic link between operating conditions and reaction pathways during near-ambient wet wollastonite carbonation.","DOI":"10.2139/ssrn.6672664","publisher":"SSRN","source":"DOI.org (Crossref)","title":"Regimes in Wet Wollastonite Carbonation: A Comparative Kinetics and Multi-Technique Investigation​","title-short":"Regimes in Wet Wollastonite Carbonation","URL":"https://www.ssrn.com/abstract=6672664","author":[{"family":"Homaee","given":"Sahra"},{"family":"Moeckel","given":"Robert"},{"family":"Ebert","given":"Doreen"},{"family":"Rudolph","given":"Martin"}],"accessed":{"date-parts":[["2026",5,9]]},"issued":{"date-parts":[["2026"]]}}}],"schema":"https://github.com/citation-style-language/schema/raw/master/csl-citation.json"} </w:instrText>
      </w:r>
      <w:r w:rsidR="0066471C">
        <w:fldChar w:fldCharType="separate"/>
      </w:r>
      <w:r w:rsidR="000C78A0" w:rsidRPr="000C78A0">
        <w:t>[31]</w:t>
      </w:r>
      <w:r w:rsidR="0066471C">
        <w:fldChar w:fldCharType="end"/>
      </w:r>
      <w:r w:rsidRPr="00C46E80">
        <w:t>,</w:t>
      </w:r>
      <w:r w:rsidR="00CC6AE2">
        <w:t xml:space="preserve"> </w:t>
      </w:r>
      <w:r w:rsidRPr="00C46E80">
        <w:t xml:space="preserve"> local volume increase upon replacement may generate subsurface stress, leading to uplift, bending, and disruption of the reacted layer, consistent with the cleavage-like and fractured features observed by SEM and AFM.</w:t>
      </w:r>
    </w:p>
    <w:p w14:paraId="48BBA366" w14:textId="3DA2B8C0" w:rsidR="0066471C" w:rsidRDefault="00C46E80" w:rsidP="00760153">
      <w:pPr>
        <w:pStyle w:val="BodyText"/>
        <w:spacing w:line="360" w:lineRule="auto"/>
        <w:jc w:val="both"/>
      </w:pPr>
      <w:r w:rsidRPr="00C46E80">
        <w:t xml:space="preserve">The available microscopy observations do not permit </w:t>
      </w:r>
      <w:r w:rsidR="00CC6AE2">
        <w:t xml:space="preserve">an </w:t>
      </w:r>
      <w:r w:rsidRPr="00C46E80">
        <w:t>unambiguous distinction between these mechanisms, and both likely contribute to the observed morphology. Nevertheless, each is consistent with the broader kinetic and structural results, confirming that surface evolution plays a significant role in controlling the carbonation pathway. AFM was subsequently used to compare topography and phase contrast of polished and carbonated embedded samples.</w:t>
      </w:r>
    </w:p>
    <w:p w14:paraId="61786189" w14:textId="6596A58F" w:rsidR="0066471C" w:rsidRPr="00257FB7" w:rsidRDefault="0066471C" w:rsidP="000C78A0">
      <w:pPr>
        <w:spacing w:line="360" w:lineRule="auto"/>
        <w:jc w:val="both"/>
      </w:pPr>
      <w:r w:rsidRPr="00980279">
        <w:lastRenderedPageBreak/>
        <w:t xml:space="preserve">Atomic force microscopy (AFM) measurements provided quantitative </w:t>
      </w:r>
      <w:r>
        <w:t>results</w:t>
      </w:r>
      <w:r w:rsidRPr="00980279">
        <w:t xml:space="preserve"> of carbonation-induced surface modification</w:t>
      </w:r>
      <w:r>
        <w:t xml:space="preserve"> as summarized in </w:t>
      </w:r>
      <w:r>
        <w:fldChar w:fldCharType="begin"/>
      </w:r>
      <w:r>
        <w:instrText xml:space="preserve"> REF _Ref229560911 \h </w:instrText>
      </w:r>
      <w:r>
        <w:fldChar w:fldCharType="separate"/>
      </w:r>
      <w:r w:rsidR="00A27D86">
        <w:t xml:space="preserve">Table </w:t>
      </w:r>
      <w:r w:rsidR="00A27D86">
        <w:rPr>
          <w:noProof/>
        </w:rPr>
        <w:t>1</w:t>
      </w:r>
      <w:r>
        <w:fldChar w:fldCharType="end"/>
      </w:r>
      <w:r w:rsidRPr="00980279">
        <w:t>. In comparison to the polished reference, both carbonated samples exhibited a marked increase in surface roughness</w:t>
      </w:r>
      <w:r>
        <w:t xml:space="preserve"> (root mean square </w:t>
      </w:r>
      <w:proofErr w:type="spellStart"/>
      <w:r w:rsidRPr="00FA43F1">
        <w:rPr>
          <w:i/>
        </w:rPr>
        <w:t>R</w:t>
      </w:r>
      <w:r w:rsidRPr="00FA43F1">
        <w:rPr>
          <w:vertAlign w:val="subscript"/>
        </w:rPr>
        <w:t>q</w:t>
      </w:r>
      <w:proofErr w:type="spellEnd"/>
      <w:r>
        <w:t xml:space="preserve">, arithmetic average </w:t>
      </w:r>
      <w:r w:rsidRPr="00FA43F1">
        <w:rPr>
          <w:i/>
        </w:rPr>
        <w:t>R</w:t>
      </w:r>
      <w:r w:rsidRPr="00FA43F1">
        <w:rPr>
          <w:vertAlign w:val="subscript"/>
        </w:rPr>
        <w:t>a</w:t>
      </w:r>
      <w:r>
        <w:t xml:space="preserve">, mean roughness depth </w:t>
      </w:r>
      <w:r w:rsidRPr="00FA43F1">
        <w:rPr>
          <w:i/>
        </w:rPr>
        <w:t>R</w:t>
      </w:r>
      <w:r w:rsidRPr="00FA43F1">
        <w:rPr>
          <w:vertAlign w:val="subscript"/>
        </w:rPr>
        <w:t>z</w:t>
      </w:r>
      <w:r>
        <w:t>)</w:t>
      </w:r>
      <w:r w:rsidRPr="00980279">
        <w:t xml:space="preserve">, with all topographic parameters increasing after carbonation and reaching their highest values in the 90°C sample. Notably, the substantial increases in </w:t>
      </w:r>
      <w:r w:rsidRPr="00FA43F1">
        <w:rPr>
          <w:i/>
        </w:rPr>
        <w:t>R</w:t>
      </w:r>
      <w:r w:rsidRPr="00FA43F1">
        <w:rPr>
          <w:vertAlign w:val="subscript"/>
        </w:rPr>
        <w:t>a</w:t>
      </w:r>
      <w:r w:rsidRPr="00980279">
        <w:t xml:space="preserve">, </w:t>
      </w:r>
      <w:proofErr w:type="spellStart"/>
      <w:r w:rsidRPr="00FA43F1">
        <w:rPr>
          <w:i/>
        </w:rPr>
        <w:t>R</w:t>
      </w:r>
      <w:r w:rsidRPr="00FA43F1">
        <w:rPr>
          <w:vertAlign w:val="subscript"/>
        </w:rPr>
        <w:t>q</w:t>
      </w:r>
      <w:proofErr w:type="spellEnd"/>
      <w:r w:rsidRPr="00980279">
        <w:t xml:space="preserve">, and </w:t>
      </w:r>
      <w:r w:rsidRPr="00FA43F1">
        <w:rPr>
          <w:i/>
        </w:rPr>
        <w:t>R</w:t>
      </w:r>
      <w:r w:rsidRPr="00FA43F1">
        <w:rPr>
          <w:vertAlign w:val="subscript"/>
        </w:rPr>
        <w:t>z</w:t>
      </w:r>
      <w:r w:rsidRPr="00980279">
        <w:t xml:space="preserve"> indicate that carbonation results in a more heterogeneous and topographically complex surface</w:t>
      </w:r>
      <w:r>
        <w:t xml:space="preserve"> (</w:t>
      </w:r>
      <w:r w:rsidR="002833D1">
        <w:fldChar w:fldCharType="begin"/>
      </w:r>
      <w:r w:rsidR="002833D1">
        <w:instrText xml:space="preserve"> REF _Ref229560911 \h </w:instrText>
      </w:r>
      <w:r w:rsidR="002833D1">
        <w:fldChar w:fldCharType="separate"/>
      </w:r>
      <w:r w:rsidR="00A27D86">
        <w:t xml:space="preserve">Table </w:t>
      </w:r>
      <w:r w:rsidR="00A27D86">
        <w:rPr>
          <w:noProof/>
        </w:rPr>
        <w:t>1</w:t>
      </w:r>
      <w:r w:rsidR="002833D1">
        <w:fldChar w:fldCharType="end"/>
      </w:r>
      <w:r>
        <w:t>)</w:t>
      </w:r>
      <w:r w:rsidRPr="00980279">
        <w:t>. This trend aligns with observations from optical microscopy, scanning electron microscopy (SEM), and kinetic analyses, and suggests that elevated temperature facilitates more extensive modification of the near-surface region</w:t>
      </w:r>
      <w:r w:rsidRPr="0066471C">
        <w:t xml:space="preserve">. </w:t>
      </w:r>
      <w:r w:rsidRPr="001A34E0">
        <w:t xml:space="preserve">The phase shift signal of the vibrating cantilever in dynamic tapping mode is processed in a similar manner like the topographic signal by means of determining mean values </w:t>
      </w:r>
      <w:proofErr w:type="spellStart"/>
      <w:r w:rsidRPr="0066471C">
        <w:rPr>
          <w:i/>
          <w:iCs/>
        </w:rPr>
        <w:t>φ</w:t>
      </w:r>
      <w:r w:rsidRPr="0066471C">
        <w:rPr>
          <w:iCs/>
          <w:vertAlign w:val="subscript"/>
        </w:rPr>
        <w:t>q</w:t>
      </w:r>
      <w:proofErr w:type="spellEnd"/>
      <w:r w:rsidRPr="0066471C">
        <w:rPr>
          <w:iCs/>
        </w:rPr>
        <w:t xml:space="preserve">, </w:t>
      </w:r>
      <w:proofErr w:type="spellStart"/>
      <w:r w:rsidRPr="0066471C">
        <w:rPr>
          <w:i/>
          <w:iCs/>
        </w:rPr>
        <w:t>φ</w:t>
      </w:r>
      <w:r w:rsidRPr="0066471C">
        <w:rPr>
          <w:iCs/>
          <w:vertAlign w:val="subscript"/>
        </w:rPr>
        <w:t>a</w:t>
      </w:r>
      <w:proofErr w:type="spellEnd"/>
      <w:r w:rsidRPr="0066471C">
        <w:rPr>
          <w:iCs/>
        </w:rPr>
        <w:t xml:space="preserve"> </w:t>
      </w:r>
      <w:r>
        <w:rPr>
          <w:iCs/>
        </w:rPr>
        <w:t xml:space="preserve">and </w:t>
      </w:r>
      <w:proofErr w:type="spellStart"/>
      <w:r w:rsidRPr="00DE3556">
        <w:rPr>
          <w:i/>
          <w:iCs/>
        </w:rPr>
        <w:t>φ</w:t>
      </w:r>
      <w:r>
        <w:rPr>
          <w:iCs/>
          <w:vertAlign w:val="subscript"/>
        </w:rPr>
        <w:t>z</w:t>
      </w:r>
      <w:proofErr w:type="spellEnd"/>
      <w:r>
        <w:rPr>
          <w:iCs/>
        </w:rPr>
        <w:t>, respectively</w:t>
      </w:r>
      <w:r w:rsidR="004101AD">
        <w:rPr>
          <w:iCs/>
        </w:rPr>
        <w:t xml:space="preserve"> </w:t>
      </w:r>
      <w:r w:rsidR="00B639E1">
        <w:rPr>
          <w:iCs/>
        </w:rPr>
        <w:fldChar w:fldCharType="begin"/>
      </w:r>
      <w:r w:rsidR="000C78A0">
        <w:rPr>
          <w:iCs/>
        </w:rPr>
        <w:instrText xml:space="preserve"> ADDIN ZOTERO_ITEM CSL_CITATION {"citationID":"xzQNTKXK","properties":{"unsorted":false,"formattedCitation":"[36,37]","plainCitation":"[36,37]","noteIndex":0},"citationItems":[{"id":405,"uris":["http://zotero.org/users/local/CPEr2PVS/items/26ZYFJJY"],"itemData":{"id":405,"type":"article-journal","abstract":"Phase-contrast in tapping-mode atomic force microscopy (TM-AFM) results from dynamic tip-surface interaction losses which allow soft and hard nanoscale features to be distinguished. So far, phase-contrast in TM-AFM has been interpreted using homogeneous Boltzmann-like loss distributions that ignore fluctuations. Here, we revisit the origin of phase-contrast in TM-AFM by considering the role of fluctuation-driven transitions and heterogeneous loss. At ultra-light tapping amplitudes &lt;3 nm, a unique amplitude dependent two-stage distribution response is revealed, alluding to metastable viscous relaxations that originate from tapping-induced surface perturbations. The elastic and viscous coefficients are also quantitatively estimated from the resulting strain rate at the fixed tapping frequency. The transitional heterogeneous losses emerge as the dominant loss mechanism outweighing homogeneous losses at smaller amplitudes for a soft-material. Analogous fluctuation mediated phase-contrast is also apparent in contact resonance enhanced AFM-IR (infrared), showing promise in decoupling competing thermal loss mechanisms via radiative and non-radiative pathways. Understanding the loss pathways can provide insights on the bio-physical origins of heterogeneities in soft-bio-matter e.g., single cancer cell, tumors, and soft-tissues.","container-title":"Communications Physics","DOI":"10.1038/s42005-021-00576-6","ISSN":"2399-3650","issue":"1","journalAbbreviation":"Commun Phys","language":"en","license":"2021 The Author(s)","page":"72","publisher":"Nature Publishing Group","source":"www.nature.com","title":"Deconvolution of dissipative pathways for the interpretation of tapping-mode atomic force microscopy from phase-contrast","volume":"4","author":[{"family":"Phani","given":"Arindam"},{"family":"Jung","given":"Ho Sang"},{"family":"Kim","given":"Seonghwan"}],"issued":{"date-parts":[["2021",4,12]]}}},{"id":413,"uris":["http://zotero.org/users/local/CPEr2PVS/items/CTS5HS3W"],"itemData":{"id":413,"type":"article-journal","abstract":"Für die Analyse partikulärer Medien und disperser Systeme bietet die Rasterkraftmikroskopie vielfältige Möglichkeiten. Die Phasenkontrast-Rasterkraftmikroskopie wurde für die Dispersitätsanalyse untersucht. Eine Möglichkeit der Analyse von Nanopartikel-Kompositproben bezüglich der Vereinzelung und Verteilung der Partikel innerhalb einer Polymermatrix wird präsentiert. Zur quantitativen Dispersitätscharakterisierung wird ein möglicher Auswertungsablauf vorgestellt.","container-title":"Chemie Ingenieur Technik","DOI":"10.1002/cite.201000090","ISSN":"1522-2640","issue":"12","language":"de","license":"Copyright © 2010 WILEY-VCH Verlag GmbH &amp; Co. KGaA, Weinheim","note":"_eprint: https://onlinelibrary.wiley.com/doi/pdf/10.1002/cite.201000090","page":"2189-2195","source":"Wiley Online Library","title":"Phasenkontrast-Rasterkraftmikroskopie für die Charakterisierung der Verteilung von Nanopartikeln in Verbundwerkstoffen","volume":"82","author":[{"family":"Rudolph","given":"M."},{"family":"Bauer","given":"K."},{"family":"Peuker","given":"U. A."}],"issued":{"date-parts":[["2010"]]}}}],"schema":"https://github.com/citation-style-language/schema/raw/master/csl-citation.json"} </w:instrText>
      </w:r>
      <w:r w:rsidR="00B639E1">
        <w:rPr>
          <w:iCs/>
        </w:rPr>
        <w:fldChar w:fldCharType="separate"/>
      </w:r>
      <w:r w:rsidR="000C78A0" w:rsidRPr="000C78A0">
        <w:t>[36,37]</w:t>
      </w:r>
      <w:r w:rsidR="00B639E1">
        <w:rPr>
          <w:iCs/>
        </w:rPr>
        <w:fldChar w:fldCharType="end"/>
      </w:r>
      <w:r>
        <w:rPr>
          <w:iCs/>
        </w:rPr>
        <w:t>. With an increasing degree of carbonation, those values are decreasing. This can be contributed to the formation of carbonation product layers on the wollastonite surface making it chemically more homogeneous, especially with respect to the silica layer as a second product of wollastonite carbonation next to calcium carbonate. Nonetheless, these finding need more attention in future investigations as no references are known to the authors to compare with.</w:t>
      </w:r>
    </w:p>
    <w:p w14:paraId="6242AAAC" w14:textId="7CA98368" w:rsidR="0066471C" w:rsidRPr="00FA43F1" w:rsidRDefault="0066471C" w:rsidP="0066471C">
      <w:pPr>
        <w:pStyle w:val="Caption"/>
        <w:jc w:val="center"/>
        <w:rPr>
          <w:color w:val="FF0000"/>
        </w:rPr>
      </w:pPr>
      <w:bookmarkStart w:id="12" w:name="_Ref229560911"/>
      <w:r>
        <w:t xml:space="preserve">Table </w:t>
      </w:r>
      <w:r>
        <w:fldChar w:fldCharType="begin"/>
      </w:r>
      <w:r>
        <w:instrText xml:space="preserve"> SEQ Table \* ARABIC </w:instrText>
      </w:r>
      <w:r>
        <w:fldChar w:fldCharType="separate"/>
      </w:r>
      <w:r w:rsidR="00A27D86">
        <w:rPr>
          <w:noProof/>
        </w:rPr>
        <w:t>1</w:t>
      </w:r>
      <w:r>
        <w:fldChar w:fldCharType="end"/>
      </w:r>
      <w:bookmarkEnd w:id="12"/>
      <w:r>
        <w:t xml:space="preserve">: </w:t>
      </w:r>
      <w:r w:rsidRPr="004E419E">
        <w:t>AFM topography (R</w:t>
      </w:r>
      <w:r w:rsidRPr="00FA43F1">
        <w:rPr>
          <w:vertAlign w:val="subscript"/>
        </w:rPr>
        <w:t>a</w:t>
      </w:r>
      <w:r>
        <w:t xml:space="preserve">, </w:t>
      </w:r>
      <w:proofErr w:type="spellStart"/>
      <w:r w:rsidRPr="004E419E">
        <w:t>R</w:t>
      </w:r>
      <w:r w:rsidRPr="00FA43F1">
        <w:rPr>
          <w:vertAlign w:val="subscript"/>
        </w:rPr>
        <w:t>q</w:t>
      </w:r>
      <w:proofErr w:type="spellEnd"/>
      <w:r w:rsidRPr="004E419E">
        <w:t>, R</w:t>
      </w:r>
      <w:r w:rsidRPr="00FA43F1">
        <w:rPr>
          <w:vertAlign w:val="subscript"/>
        </w:rPr>
        <w:t>z</w:t>
      </w:r>
      <w:r w:rsidRPr="004E419E">
        <w:t>) and phase (</w:t>
      </w:r>
      <w:proofErr w:type="spellStart"/>
      <w:r w:rsidRPr="004E419E">
        <w:t>φ</w:t>
      </w:r>
      <w:r>
        <w:rPr>
          <w:vertAlign w:val="subscript"/>
        </w:rPr>
        <w:t>q</w:t>
      </w:r>
      <w:proofErr w:type="spellEnd"/>
      <w:r w:rsidRPr="004E419E">
        <w:t xml:space="preserve">, </w:t>
      </w:r>
      <w:proofErr w:type="spellStart"/>
      <w:r w:rsidRPr="004E419E">
        <w:t>φ</w:t>
      </w:r>
      <w:r>
        <w:rPr>
          <w:vertAlign w:val="subscript"/>
        </w:rPr>
        <w:t>a</w:t>
      </w:r>
      <w:proofErr w:type="spellEnd"/>
      <w:r w:rsidRPr="004E419E">
        <w:t xml:space="preserve">, </w:t>
      </w:r>
      <w:proofErr w:type="spellStart"/>
      <w:r w:rsidRPr="004E419E">
        <w:t>φ</w:t>
      </w:r>
      <w:r w:rsidRPr="00FA43F1">
        <w:rPr>
          <w:vertAlign w:val="subscript"/>
        </w:rPr>
        <w:t>z</w:t>
      </w:r>
      <w:proofErr w:type="spellEnd"/>
      <w:r w:rsidRPr="004E419E">
        <w:t>) parameters</w:t>
      </w:r>
      <w:r>
        <w:t xml:space="preserve"> (geometric mean g, arithmetic mean a and mean depth z)</w:t>
      </w:r>
      <w:r w:rsidRPr="004E419E">
        <w:t xml:space="preserve"> for the polished reference and the carbonated samples at 60</w:t>
      </w:r>
      <w:r>
        <w:t>°C</w:t>
      </w:r>
      <w:r w:rsidRPr="004E419E">
        <w:t xml:space="preserve"> and 90°C, summarizing the quantitative evolution of surface roughness and phase contrast</w:t>
      </w:r>
      <w:r>
        <w:t xml:space="preserve"> variations</w:t>
      </w:r>
      <w:r w:rsidRPr="004E419E">
        <w:t xml:space="preserve"> after carbonation.</w:t>
      </w:r>
    </w:p>
    <w:tbl>
      <w:tblPr>
        <w:tblStyle w:val="TableGrid"/>
        <w:tblW w:w="0" w:type="auto"/>
        <w:tblLook w:val="04A0" w:firstRow="1" w:lastRow="0" w:firstColumn="1" w:lastColumn="0" w:noHBand="0" w:noVBand="1"/>
      </w:tblPr>
      <w:tblGrid>
        <w:gridCol w:w="2349"/>
        <w:gridCol w:w="2349"/>
        <w:gridCol w:w="2349"/>
        <w:gridCol w:w="2349"/>
      </w:tblGrid>
      <w:tr w:rsidR="0066471C" w14:paraId="67E8D9C1" w14:textId="77777777" w:rsidTr="008F0694">
        <w:tc>
          <w:tcPr>
            <w:tcW w:w="9396" w:type="dxa"/>
            <w:gridSpan w:val="4"/>
          </w:tcPr>
          <w:p w14:paraId="329A6386" w14:textId="77777777" w:rsidR="0066471C" w:rsidRPr="00FA43F1" w:rsidRDefault="0066471C" w:rsidP="008F0694">
            <w:pPr>
              <w:pStyle w:val="BodyText"/>
              <w:jc w:val="center"/>
              <w:rPr>
                <w:iCs/>
              </w:rPr>
            </w:pPr>
            <w:r w:rsidRPr="00FA43F1">
              <w:rPr>
                <w:iCs/>
              </w:rPr>
              <w:t>Topography values</w:t>
            </w:r>
          </w:p>
        </w:tc>
      </w:tr>
      <w:tr w:rsidR="0066471C" w14:paraId="773514D2" w14:textId="77777777" w:rsidTr="008F0694">
        <w:tc>
          <w:tcPr>
            <w:tcW w:w="2349" w:type="dxa"/>
          </w:tcPr>
          <w:p w14:paraId="6AF6A54A" w14:textId="77777777" w:rsidR="0066471C" w:rsidRDefault="0066471C" w:rsidP="008F0694">
            <w:pPr>
              <w:pStyle w:val="BodyText"/>
            </w:pPr>
            <w:r>
              <w:t>Conditions</w:t>
            </w:r>
          </w:p>
        </w:tc>
        <w:tc>
          <w:tcPr>
            <w:tcW w:w="2349" w:type="dxa"/>
          </w:tcPr>
          <w:p w14:paraId="13300278" w14:textId="77777777" w:rsidR="0066471C" w:rsidRDefault="0066471C" w:rsidP="008F0694">
            <w:pPr>
              <w:pStyle w:val="BodyText"/>
            </w:pPr>
            <w:proofErr w:type="spellStart"/>
            <w:r w:rsidRPr="00FC7690">
              <w:rPr>
                <w:i/>
              </w:rPr>
              <w:t>R</w:t>
            </w:r>
            <w:r w:rsidRPr="00FC7690">
              <w:rPr>
                <w:vertAlign w:val="subscript"/>
              </w:rPr>
              <w:t>q</w:t>
            </w:r>
            <w:proofErr w:type="spellEnd"/>
            <w:r>
              <w:t xml:space="preserve"> in nm</w:t>
            </w:r>
          </w:p>
        </w:tc>
        <w:tc>
          <w:tcPr>
            <w:tcW w:w="2349" w:type="dxa"/>
          </w:tcPr>
          <w:p w14:paraId="33DB6F5D" w14:textId="77777777" w:rsidR="0066471C" w:rsidRDefault="0066471C" w:rsidP="008F0694">
            <w:pPr>
              <w:pStyle w:val="BodyText"/>
            </w:pPr>
            <w:r w:rsidRPr="00FC7690">
              <w:rPr>
                <w:i/>
              </w:rPr>
              <w:t>R</w:t>
            </w:r>
            <w:r w:rsidRPr="00FC7690">
              <w:rPr>
                <w:vertAlign w:val="subscript"/>
              </w:rPr>
              <w:t>a</w:t>
            </w:r>
            <w:r>
              <w:t xml:space="preserve"> in nm</w:t>
            </w:r>
          </w:p>
        </w:tc>
        <w:tc>
          <w:tcPr>
            <w:tcW w:w="2349" w:type="dxa"/>
          </w:tcPr>
          <w:p w14:paraId="044C1E5A" w14:textId="77777777" w:rsidR="0066471C" w:rsidRDefault="0066471C" w:rsidP="008F0694">
            <w:pPr>
              <w:pStyle w:val="BodyText"/>
            </w:pPr>
            <w:r w:rsidRPr="00FC7690">
              <w:rPr>
                <w:i/>
              </w:rPr>
              <w:t>R</w:t>
            </w:r>
            <w:r w:rsidRPr="00FC7690">
              <w:rPr>
                <w:vertAlign w:val="subscript"/>
              </w:rPr>
              <w:t>z</w:t>
            </w:r>
            <w:r>
              <w:t xml:space="preserve"> in nm</w:t>
            </w:r>
          </w:p>
        </w:tc>
      </w:tr>
      <w:tr w:rsidR="0066471C" w14:paraId="5C81176C" w14:textId="77777777" w:rsidTr="008F0694">
        <w:tc>
          <w:tcPr>
            <w:tcW w:w="2349" w:type="dxa"/>
          </w:tcPr>
          <w:p w14:paraId="4A6CA9FC" w14:textId="77777777" w:rsidR="0066471C" w:rsidRDefault="0066471C" w:rsidP="008F0694">
            <w:pPr>
              <w:pStyle w:val="BodyText"/>
            </w:pPr>
            <w:r>
              <w:t>Polished</w:t>
            </w:r>
          </w:p>
        </w:tc>
        <w:tc>
          <w:tcPr>
            <w:tcW w:w="2349" w:type="dxa"/>
          </w:tcPr>
          <w:p w14:paraId="45C1FF64" w14:textId="77777777" w:rsidR="0066471C" w:rsidRDefault="0066471C" w:rsidP="008F0694">
            <w:pPr>
              <w:pStyle w:val="BodyText"/>
            </w:pPr>
            <w:r w:rsidRPr="00C86DEE">
              <w:t>1.</w:t>
            </w:r>
            <w:r>
              <w:t>6 ± 0.3</w:t>
            </w:r>
          </w:p>
        </w:tc>
        <w:tc>
          <w:tcPr>
            <w:tcW w:w="2349" w:type="dxa"/>
          </w:tcPr>
          <w:p w14:paraId="3E6F66CF" w14:textId="77777777" w:rsidR="0066471C" w:rsidRDefault="0066471C" w:rsidP="008F0694">
            <w:pPr>
              <w:pStyle w:val="BodyText"/>
            </w:pPr>
            <w:r w:rsidRPr="00C86DEE">
              <w:t>1.</w:t>
            </w:r>
            <w:r>
              <w:t>2 ± 0.3</w:t>
            </w:r>
          </w:p>
        </w:tc>
        <w:tc>
          <w:tcPr>
            <w:tcW w:w="2349" w:type="dxa"/>
          </w:tcPr>
          <w:p w14:paraId="52C7F7FA" w14:textId="77777777" w:rsidR="0066471C" w:rsidRDefault="0066471C" w:rsidP="008F0694">
            <w:pPr>
              <w:pStyle w:val="BodyText"/>
            </w:pPr>
            <w:r w:rsidRPr="00C86DEE">
              <w:t>21.</w:t>
            </w:r>
            <w:r>
              <w:t>3 ± 7.8</w:t>
            </w:r>
          </w:p>
        </w:tc>
      </w:tr>
      <w:tr w:rsidR="0066471C" w14:paraId="01F8E4C7" w14:textId="77777777" w:rsidTr="008F0694">
        <w:tc>
          <w:tcPr>
            <w:tcW w:w="2349" w:type="dxa"/>
          </w:tcPr>
          <w:p w14:paraId="5F6C6FC3" w14:textId="77777777" w:rsidR="0066471C" w:rsidRDefault="0066471C" w:rsidP="008F0694">
            <w:pPr>
              <w:pStyle w:val="BodyText"/>
            </w:pPr>
            <w:r>
              <w:t>Carbonated 60°C</w:t>
            </w:r>
          </w:p>
        </w:tc>
        <w:tc>
          <w:tcPr>
            <w:tcW w:w="2349" w:type="dxa"/>
          </w:tcPr>
          <w:p w14:paraId="5E086A66" w14:textId="77777777" w:rsidR="0066471C" w:rsidRDefault="0066471C" w:rsidP="008F0694">
            <w:pPr>
              <w:pStyle w:val="BodyText"/>
            </w:pPr>
            <w:r w:rsidRPr="002C00AE">
              <w:t>7.9</w:t>
            </w:r>
            <w:r>
              <w:t xml:space="preserve"> ± 4.5</w:t>
            </w:r>
          </w:p>
        </w:tc>
        <w:tc>
          <w:tcPr>
            <w:tcW w:w="2349" w:type="dxa"/>
          </w:tcPr>
          <w:p w14:paraId="03E6ADBD" w14:textId="77777777" w:rsidR="0066471C" w:rsidRDefault="0066471C" w:rsidP="008F0694">
            <w:pPr>
              <w:pStyle w:val="BodyText"/>
            </w:pPr>
            <w:r w:rsidRPr="002C00AE">
              <w:t>3.3</w:t>
            </w:r>
            <w:r>
              <w:t xml:space="preserve"> ± 1.3</w:t>
            </w:r>
          </w:p>
        </w:tc>
        <w:tc>
          <w:tcPr>
            <w:tcW w:w="2349" w:type="dxa"/>
          </w:tcPr>
          <w:p w14:paraId="43A3E79A" w14:textId="77777777" w:rsidR="0066471C" w:rsidRDefault="0066471C" w:rsidP="008F0694">
            <w:pPr>
              <w:pStyle w:val="BodyText"/>
            </w:pPr>
            <w:r w:rsidRPr="002C00AE">
              <w:t>146.5</w:t>
            </w:r>
            <w:r>
              <w:t xml:space="preserve"> ± 98.0</w:t>
            </w:r>
          </w:p>
        </w:tc>
      </w:tr>
      <w:tr w:rsidR="0066471C" w14:paraId="4FE910B3" w14:textId="77777777" w:rsidTr="008F0694">
        <w:tc>
          <w:tcPr>
            <w:tcW w:w="2349" w:type="dxa"/>
          </w:tcPr>
          <w:p w14:paraId="446D5400" w14:textId="77777777" w:rsidR="0066471C" w:rsidRDefault="0066471C" w:rsidP="008F0694">
            <w:pPr>
              <w:pStyle w:val="BodyText"/>
            </w:pPr>
            <w:r>
              <w:t>Carbonated 90°C</w:t>
            </w:r>
          </w:p>
        </w:tc>
        <w:tc>
          <w:tcPr>
            <w:tcW w:w="2349" w:type="dxa"/>
          </w:tcPr>
          <w:p w14:paraId="313C5633" w14:textId="77777777" w:rsidR="0066471C" w:rsidRDefault="0066471C" w:rsidP="008F0694">
            <w:pPr>
              <w:pStyle w:val="BodyText"/>
            </w:pPr>
            <w:r w:rsidRPr="000743D7">
              <w:t>12.2</w:t>
            </w:r>
            <w:r>
              <w:t xml:space="preserve"> ± 7.0</w:t>
            </w:r>
          </w:p>
        </w:tc>
        <w:tc>
          <w:tcPr>
            <w:tcW w:w="2349" w:type="dxa"/>
          </w:tcPr>
          <w:p w14:paraId="72C3B6F8" w14:textId="77777777" w:rsidR="0066471C" w:rsidRDefault="0066471C" w:rsidP="008F0694">
            <w:pPr>
              <w:pStyle w:val="BodyText"/>
            </w:pPr>
            <w:r w:rsidRPr="000743D7">
              <w:t>6.5</w:t>
            </w:r>
            <w:r>
              <w:t xml:space="preserve"> ± 3.6</w:t>
            </w:r>
          </w:p>
        </w:tc>
        <w:tc>
          <w:tcPr>
            <w:tcW w:w="2349" w:type="dxa"/>
          </w:tcPr>
          <w:p w14:paraId="594F3D21" w14:textId="77777777" w:rsidR="0066471C" w:rsidRDefault="0066471C" w:rsidP="008F0694">
            <w:pPr>
              <w:pStyle w:val="BodyText"/>
            </w:pPr>
            <w:r w:rsidRPr="000743D7">
              <w:t>184.4</w:t>
            </w:r>
            <w:r>
              <w:t xml:space="preserve"> ± 92.0</w:t>
            </w:r>
          </w:p>
        </w:tc>
      </w:tr>
      <w:tr w:rsidR="0066471C" w14:paraId="1CFB2AA8" w14:textId="77777777" w:rsidTr="008F0694">
        <w:tc>
          <w:tcPr>
            <w:tcW w:w="9396" w:type="dxa"/>
            <w:gridSpan w:val="4"/>
          </w:tcPr>
          <w:p w14:paraId="3B328A94" w14:textId="77777777" w:rsidR="0066471C" w:rsidRPr="00DA369C" w:rsidRDefault="0066471C" w:rsidP="008F0694">
            <w:pPr>
              <w:pStyle w:val="BodyText"/>
              <w:jc w:val="center"/>
            </w:pPr>
            <w:r>
              <w:t>Phase values</w:t>
            </w:r>
          </w:p>
        </w:tc>
      </w:tr>
      <w:tr w:rsidR="0066471C" w14:paraId="3C60F631" w14:textId="77777777" w:rsidTr="008F0694">
        <w:tc>
          <w:tcPr>
            <w:tcW w:w="2349" w:type="dxa"/>
          </w:tcPr>
          <w:p w14:paraId="6AA02F2B" w14:textId="77777777" w:rsidR="0066471C" w:rsidRDefault="0066471C" w:rsidP="008F0694">
            <w:pPr>
              <w:pStyle w:val="BodyText"/>
            </w:pPr>
            <w:r>
              <w:t>Conditions</w:t>
            </w:r>
          </w:p>
        </w:tc>
        <w:tc>
          <w:tcPr>
            <w:tcW w:w="2349" w:type="dxa"/>
          </w:tcPr>
          <w:p w14:paraId="1E3E710B" w14:textId="77777777" w:rsidR="0066471C" w:rsidRPr="00DA369C" w:rsidRDefault="0066471C" w:rsidP="008F0694">
            <w:pPr>
              <w:pStyle w:val="BodyText"/>
            </w:pPr>
            <w:proofErr w:type="spellStart"/>
            <w:r w:rsidRPr="00FA43F1">
              <w:rPr>
                <w:i/>
                <w:iCs/>
              </w:rPr>
              <w:t>φ</w:t>
            </w:r>
            <w:r w:rsidRPr="00FA43F1">
              <w:rPr>
                <w:iCs/>
                <w:vertAlign w:val="subscript"/>
              </w:rPr>
              <w:t>q</w:t>
            </w:r>
            <w:proofErr w:type="spellEnd"/>
            <w:r w:rsidRPr="008126CE">
              <w:t xml:space="preserve"> in °</w:t>
            </w:r>
          </w:p>
        </w:tc>
        <w:tc>
          <w:tcPr>
            <w:tcW w:w="2349" w:type="dxa"/>
          </w:tcPr>
          <w:p w14:paraId="5C838677" w14:textId="77777777" w:rsidR="0066471C" w:rsidRPr="00DA369C" w:rsidRDefault="0066471C" w:rsidP="008F0694">
            <w:pPr>
              <w:pStyle w:val="BodyText"/>
            </w:pPr>
            <w:proofErr w:type="spellStart"/>
            <w:r w:rsidRPr="00FA43F1">
              <w:rPr>
                <w:i/>
                <w:iCs/>
              </w:rPr>
              <w:t>φ</w:t>
            </w:r>
            <w:r w:rsidRPr="00FA43F1">
              <w:rPr>
                <w:iCs/>
                <w:vertAlign w:val="subscript"/>
              </w:rPr>
              <w:t>a</w:t>
            </w:r>
            <w:proofErr w:type="spellEnd"/>
            <w:r w:rsidRPr="008126CE">
              <w:t xml:space="preserve"> in °</w:t>
            </w:r>
          </w:p>
        </w:tc>
        <w:tc>
          <w:tcPr>
            <w:tcW w:w="2349" w:type="dxa"/>
          </w:tcPr>
          <w:p w14:paraId="3CCA6A68" w14:textId="77777777" w:rsidR="0066471C" w:rsidRPr="00DA369C" w:rsidRDefault="0066471C" w:rsidP="008F0694">
            <w:pPr>
              <w:pStyle w:val="BodyText"/>
            </w:pPr>
            <w:proofErr w:type="spellStart"/>
            <w:r w:rsidRPr="00FA43F1">
              <w:rPr>
                <w:i/>
                <w:iCs/>
              </w:rPr>
              <w:t>φ</w:t>
            </w:r>
            <w:r w:rsidRPr="00FA43F1">
              <w:rPr>
                <w:iCs/>
                <w:vertAlign w:val="subscript"/>
              </w:rPr>
              <w:t>z</w:t>
            </w:r>
            <w:proofErr w:type="spellEnd"/>
            <w:r w:rsidRPr="008126CE">
              <w:t xml:space="preserve"> in °</w:t>
            </w:r>
          </w:p>
        </w:tc>
      </w:tr>
      <w:tr w:rsidR="0066471C" w14:paraId="2A8C0E26" w14:textId="77777777" w:rsidTr="008F0694">
        <w:tc>
          <w:tcPr>
            <w:tcW w:w="2349" w:type="dxa"/>
          </w:tcPr>
          <w:p w14:paraId="6ED18A8B" w14:textId="77777777" w:rsidR="0066471C" w:rsidRDefault="0066471C" w:rsidP="008F0694">
            <w:pPr>
              <w:pStyle w:val="BodyText"/>
            </w:pPr>
            <w:r>
              <w:lastRenderedPageBreak/>
              <w:t>Polished</w:t>
            </w:r>
          </w:p>
        </w:tc>
        <w:tc>
          <w:tcPr>
            <w:tcW w:w="2349" w:type="dxa"/>
          </w:tcPr>
          <w:p w14:paraId="77BCE10B" w14:textId="77777777" w:rsidR="0066471C" w:rsidRPr="00DA369C" w:rsidRDefault="0066471C" w:rsidP="008F0694">
            <w:pPr>
              <w:pStyle w:val="BodyText"/>
            </w:pPr>
            <w:r w:rsidRPr="004035DC">
              <w:t>4.3</w:t>
            </w:r>
            <w:r>
              <w:t xml:space="preserve"> ± 2</w:t>
            </w:r>
          </w:p>
        </w:tc>
        <w:tc>
          <w:tcPr>
            <w:tcW w:w="2349" w:type="dxa"/>
          </w:tcPr>
          <w:p w14:paraId="2412483A" w14:textId="77777777" w:rsidR="0066471C" w:rsidRPr="00DA369C" w:rsidRDefault="0066471C" w:rsidP="008F0694">
            <w:pPr>
              <w:pStyle w:val="BodyText"/>
            </w:pPr>
            <w:r w:rsidRPr="004035DC">
              <w:t>3.2</w:t>
            </w:r>
            <w:r>
              <w:t xml:space="preserve"> ± 1.5</w:t>
            </w:r>
          </w:p>
        </w:tc>
        <w:tc>
          <w:tcPr>
            <w:tcW w:w="2349" w:type="dxa"/>
          </w:tcPr>
          <w:p w14:paraId="6C699BD4" w14:textId="77777777" w:rsidR="0066471C" w:rsidRPr="00DA369C" w:rsidRDefault="0066471C" w:rsidP="008F0694">
            <w:pPr>
              <w:pStyle w:val="BodyText"/>
            </w:pPr>
            <w:r w:rsidRPr="004035DC">
              <w:t>50.4</w:t>
            </w:r>
            <w:r>
              <w:t xml:space="preserve"> ± 18.0</w:t>
            </w:r>
          </w:p>
        </w:tc>
      </w:tr>
      <w:tr w:rsidR="0066471C" w14:paraId="3ADD3009" w14:textId="77777777" w:rsidTr="008F0694">
        <w:tc>
          <w:tcPr>
            <w:tcW w:w="2349" w:type="dxa"/>
          </w:tcPr>
          <w:p w14:paraId="5A07A4A4" w14:textId="77777777" w:rsidR="0066471C" w:rsidRDefault="0066471C" w:rsidP="008F0694">
            <w:pPr>
              <w:pStyle w:val="BodyText"/>
            </w:pPr>
            <w:r>
              <w:t>Carbonated 60°C</w:t>
            </w:r>
          </w:p>
        </w:tc>
        <w:tc>
          <w:tcPr>
            <w:tcW w:w="2349" w:type="dxa"/>
          </w:tcPr>
          <w:p w14:paraId="72440370" w14:textId="77777777" w:rsidR="0066471C" w:rsidRPr="00DA369C" w:rsidRDefault="0066471C" w:rsidP="008F0694">
            <w:pPr>
              <w:pStyle w:val="BodyText"/>
            </w:pPr>
            <w:r w:rsidRPr="00EE7491">
              <w:t>4.2</w:t>
            </w:r>
            <w:r>
              <w:t xml:space="preserve"> ± 1.3</w:t>
            </w:r>
          </w:p>
        </w:tc>
        <w:tc>
          <w:tcPr>
            <w:tcW w:w="2349" w:type="dxa"/>
          </w:tcPr>
          <w:p w14:paraId="3644D40D" w14:textId="77777777" w:rsidR="0066471C" w:rsidRPr="00DA369C" w:rsidRDefault="0066471C" w:rsidP="008F0694">
            <w:pPr>
              <w:pStyle w:val="BodyText"/>
            </w:pPr>
            <w:r w:rsidRPr="00EE7491">
              <w:t>3.2</w:t>
            </w:r>
            <w:r>
              <w:t xml:space="preserve"> ± 1.0</w:t>
            </w:r>
          </w:p>
        </w:tc>
        <w:tc>
          <w:tcPr>
            <w:tcW w:w="2349" w:type="dxa"/>
          </w:tcPr>
          <w:p w14:paraId="0987D403" w14:textId="77777777" w:rsidR="0066471C" w:rsidRPr="00DA369C" w:rsidRDefault="0066471C" w:rsidP="008F0694">
            <w:pPr>
              <w:pStyle w:val="BodyText"/>
            </w:pPr>
            <w:r w:rsidRPr="00EE7491">
              <w:t>57.1</w:t>
            </w:r>
            <w:r>
              <w:t xml:space="preserve"> ± 21.4</w:t>
            </w:r>
          </w:p>
        </w:tc>
      </w:tr>
      <w:tr w:rsidR="0066471C" w14:paraId="2C15ED6A" w14:textId="77777777" w:rsidTr="008F0694">
        <w:tc>
          <w:tcPr>
            <w:tcW w:w="2349" w:type="dxa"/>
          </w:tcPr>
          <w:p w14:paraId="5288A4E8" w14:textId="77777777" w:rsidR="0066471C" w:rsidRDefault="0066471C" w:rsidP="008F0694">
            <w:pPr>
              <w:pStyle w:val="BodyText"/>
            </w:pPr>
            <w:r>
              <w:t>Carbonated 90°C</w:t>
            </w:r>
          </w:p>
        </w:tc>
        <w:tc>
          <w:tcPr>
            <w:tcW w:w="2349" w:type="dxa"/>
          </w:tcPr>
          <w:p w14:paraId="5F2B37BD" w14:textId="77777777" w:rsidR="0066471C" w:rsidRPr="00DA369C" w:rsidRDefault="0066471C" w:rsidP="008F0694">
            <w:pPr>
              <w:pStyle w:val="BodyText"/>
            </w:pPr>
            <w:r w:rsidRPr="0053041F">
              <w:t>1.6</w:t>
            </w:r>
            <w:r>
              <w:t xml:space="preserve"> ± 0.6</w:t>
            </w:r>
          </w:p>
        </w:tc>
        <w:tc>
          <w:tcPr>
            <w:tcW w:w="2349" w:type="dxa"/>
          </w:tcPr>
          <w:p w14:paraId="1806373D" w14:textId="77777777" w:rsidR="0066471C" w:rsidRPr="00DA369C" w:rsidRDefault="0066471C" w:rsidP="008F0694">
            <w:pPr>
              <w:pStyle w:val="BodyText"/>
            </w:pPr>
            <w:r w:rsidRPr="0053041F">
              <w:t>0.9</w:t>
            </w:r>
            <w:r>
              <w:t xml:space="preserve"> ± 0.4</w:t>
            </w:r>
          </w:p>
        </w:tc>
        <w:tc>
          <w:tcPr>
            <w:tcW w:w="2349" w:type="dxa"/>
          </w:tcPr>
          <w:p w14:paraId="4181D003" w14:textId="77777777" w:rsidR="0066471C" w:rsidRPr="00DA369C" w:rsidRDefault="0066471C" w:rsidP="008F0694">
            <w:pPr>
              <w:pStyle w:val="BodyText"/>
            </w:pPr>
            <w:r w:rsidRPr="0053041F">
              <w:t>36.4</w:t>
            </w:r>
            <w:r>
              <w:t xml:space="preserve"> ± 12.6</w:t>
            </w:r>
          </w:p>
        </w:tc>
      </w:tr>
    </w:tbl>
    <w:p w14:paraId="6041CBAE" w14:textId="77777777" w:rsidR="0066471C" w:rsidRDefault="0066471C" w:rsidP="0066471C">
      <w:pPr>
        <w:pStyle w:val="BodyText"/>
      </w:pPr>
    </w:p>
    <w:p w14:paraId="4DCACFD6" w14:textId="4B98E746" w:rsidR="00DE6E0C" w:rsidRPr="00DE6E0C" w:rsidRDefault="00DE6E0C" w:rsidP="00760153">
      <w:pPr>
        <w:spacing w:line="360" w:lineRule="auto"/>
        <w:jc w:val="both"/>
      </w:pPr>
      <w:r w:rsidRPr="00DE6E0C">
        <w:t xml:space="preserve">AFM imaging </w:t>
      </w:r>
      <w:r w:rsidR="0066471C">
        <w:t>(</w:t>
      </w:r>
      <w:r w:rsidR="0066471C">
        <w:fldChar w:fldCharType="begin"/>
      </w:r>
      <w:r w:rsidR="0066471C">
        <w:instrText xml:space="preserve"> REF _Ref229560847 \h </w:instrText>
      </w:r>
      <w:r w:rsidR="0066471C">
        <w:fldChar w:fldCharType="separate"/>
      </w:r>
      <w:r w:rsidR="00A27D86">
        <w:t xml:space="preserve">Figure </w:t>
      </w:r>
      <w:r w:rsidR="00A27D86">
        <w:rPr>
          <w:noProof/>
        </w:rPr>
        <w:t>8</w:t>
      </w:r>
      <w:r w:rsidR="0066471C">
        <w:fldChar w:fldCharType="end"/>
      </w:r>
      <w:r w:rsidR="00760153">
        <w:t> (a-j)</w:t>
      </w:r>
      <w:r w:rsidR="0066471C">
        <w:t xml:space="preserve">) </w:t>
      </w:r>
      <w:r w:rsidRPr="00DE6E0C">
        <w:t>provided visual evidence of carbonation-induced surface evolution. Compared to the polished reference, carbonated samples exhibited significantly increased roughness and more heterogeneous surface features, consistent with the topographic parameters in</w:t>
      </w:r>
      <w:r w:rsidR="00CC6AE2">
        <w:t xml:space="preserve"> </w:t>
      </w:r>
      <w:r w:rsidR="0066471C">
        <w:fldChar w:fldCharType="begin"/>
      </w:r>
      <w:r w:rsidR="0066471C">
        <w:instrText xml:space="preserve"> REF _Ref229560911 \h </w:instrText>
      </w:r>
      <w:r w:rsidR="0066471C">
        <w:fldChar w:fldCharType="separate"/>
      </w:r>
      <w:r w:rsidR="00A27D86">
        <w:t xml:space="preserve">Table </w:t>
      </w:r>
      <w:r w:rsidR="00A27D86">
        <w:rPr>
          <w:noProof/>
        </w:rPr>
        <w:t>1</w:t>
      </w:r>
      <w:r w:rsidR="0066471C">
        <w:fldChar w:fldCharType="end"/>
      </w:r>
      <w:r w:rsidR="0066471C">
        <w:t xml:space="preserve">. </w:t>
      </w:r>
      <w:r w:rsidRPr="00DE6E0C">
        <w:t>Scratches visible on the polished surface appeared partially filled or overgrown after carbonation, indicating that reaction products accumulate on flat regions and within pre-existing surface depressions. This supports the kinetic interpretation that product buildup progressively reduces surface accessibility and contributes to diffusion-related limitations. Bright topographic features, interpreted as carbonate-rich precipitates, were larger and more developed in the 90°C sample than in the 60°C sample, consistent with the higher carbonation degree and more advanced product development identified by other characterization methods.</w:t>
      </w:r>
    </w:p>
    <w:p w14:paraId="336769E0" w14:textId="3C2848FF" w:rsidR="00CC6AE2" w:rsidRDefault="00DE6E0C" w:rsidP="00CC6AE2">
      <w:pPr>
        <w:spacing w:line="360" w:lineRule="auto"/>
        <w:jc w:val="both"/>
      </w:pPr>
      <w:r w:rsidRPr="00DE6E0C">
        <w:t>Phase images differed from corresponding topography maps, indicating that carbonation influences not only surface height but also local chemical properties, likely reflecting compositional heterogeneity within the reacted layer</w:t>
      </w:r>
      <w:r w:rsidR="00A95F31">
        <w:t xml:space="preserve">, </w:t>
      </w:r>
      <w:r w:rsidRPr="00DE6E0C">
        <w:t>potentially comprising calcite-rich regions and silica-rich altered material. Although AFM phase contrast alone cannot definitively identify composition, the observed differences are consistent with XRD, SEM, and the proposed passivation behavior. The higher phase contrast of polishing scratches on the fresh surface</w:t>
      </w:r>
      <w:r w:rsidR="00CC6AE2">
        <w:t xml:space="preserve"> (</w:t>
      </w:r>
      <w:r w:rsidR="00CC6AE2">
        <w:fldChar w:fldCharType="begin"/>
      </w:r>
      <w:r w:rsidR="00CC6AE2">
        <w:instrText xml:space="preserve"> REF _Ref229560847 \h </w:instrText>
      </w:r>
      <w:r w:rsidR="00CC6AE2">
        <w:fldChar w:fldCharType="separate"/>
      </w:r>
      <w:r w:rsidR="00A27D86">
        <w:t xml:space="preserve">Figure </w:t>
      </w:r>
      <w:r w:rsidR="00A27D86">
        <w:rPr>
          <w:noProof/>
        </w:rPr>
        <w:t>8</w:t>
      </w:r>
      <w:r w:rsidR="00CC6AE2">
        <w:fldChar w:fldCharType="end"/>
      </w:r>
      <w:r w:rsidR="00CC6AE2">
        <w:t xml:space="preserve"> </w:t>
      </w:r>
      <w:r w:rsidR="00760153">
        <w:t>h</w:t>
      </w:r>
      <w:r w:rsidR="00CC6AE2">
        <w:t xml:space="preserve">) </w:t>
      </w:r>
      <w:r w:rsidR="00CC6AE2" w:rsidRPr="00DE6E0C">
        <w:t xml:space="preserve">may reflect elevated surface energies of scratched regions, which are subsequently reduced by carbonation product layers. The origin of the brighter spots observed on the 60°C </w:t>
      </w:r>
      <w:r w:rsidR="00CC6AE2">
        <w:t>(</w:t>
      </w:r>
      <w:r w:rsidR="00CC6AE2">
        <w:fldChar w:fldCharType="begin"/>
      </w:r>
      <w:r w:rsidR="00CC6AE2">
        <w:instrText xml:space="preserve"> REF _Ref229560847 \h </w:instrText>
      </w:r>
      <w:r w:rsidR="00CC6AE2">
        <w:fldChar w:fldCharType="separate"/>
      </w:r>
      <w:r w:rsidR="00A27D86">
        <w:t xml:space="preserve">Figure </w:t>
      </w:r>
      <w:r w:rsidR="00A27D86">
        <w:rPr>
          <w:noProof/>
        </w:rPr>
        <w:t>8</w:t>
      </w:r>
      <w:r w:rsidR="00CC6AE2">
        <w:fldChar w:fldCharType="end"/>
      </w:r>
      <w:r w:rsidR="00CC6AE2">
        <w:t xml:space="preserve"> </w:t>
      </w:r>
      <w:proofErr w:type="spellStart"/>
      <w:r w:rsidR="00760153">
        <w:t>i</w:t>
      </w:r>
      <w:proofErr w:type="spellEnd"/>
      <w:r w:rsidR="00CC6AE2">
        <w:t>) and 90°C (</w:t>
      </w:r>
      <w:r w:rsidR="00CC6AE2">
        <w:fldChar w:fldCharType="begin"/>
      </w:r>
      <w:r w:rsidR="00CC6AE2">
        <w:instrText xml:space="preserve"> REF _Ref229560847 \h </w:instrText>
      </w:r>
      <w:r w:rsidR="00CC6AE2">
        <w:fldChar w:fldCharType="separate"/>
      </w:r>
      <w:r w:rsidR="00A27D86">
        <w:t xml:space="preserve">Figure </w:t>
      </w:r>
      <w:r w:rsidR="00A27D86">
        <w:rPr>
          <w:noProof/>
        </w:rPr>
        <w:t>8</w:t>
      </w:r>
      <w:r w:rsidR="00CC6AE2">
        <w:fldChar w:fldCharType="end"/>
      </w:r>
      <w:r w:rsidR="00CC6AE2">
        <w:t xml:space="preserve"> </w:t>
      </w:r>
      <w:proofErr w:type="gramStart"/>
      <w:r w:rsidR="00760153">
        <w:t>j</w:t>
      </w:r>
      <w:r w:rsidR="00CC6AE2">
        <w:t xml:space="preserve"> )</w:t>
      </w:r>
      <w:proofErr w:type="gramEnd"/>
      <w:r w:rsidR="00CC6AE2" w:rsidRPr="00A95F31">
        <w:t xml:space="preserve"> carbonated substrates require further investigation.</w:t>
      </w:r>
    </w:p>
    <w:p w14:paraId="7894149D" w14:textId="6BE02C6D" w:rsidR="00DE6E0C" w:rsidRDefault="00B90D13" w:rsidP="00B90D13">
      <w:pPr>
        <w:spacing w:line="360" w:lineRule="auto"/>
        <w:jc w:val="center"/>
      </w:pPr>
      <w:r>
        <w:rPr>
          <w:noProof/>
        </w:rPr>
        <w:lastRenderedPageBreak/>
        <w:drawing>
          <wp:inline distT="0" distB="0" distL="0" distR="0" wp14:anchorId="121555A0" wp14:editId="46AABB06">
            <wp:extent cx="4447540" cy="3473253"/>
            <wp:effectExtent l="0" t="0" r="0" b="0"/>
            <wp:docPr id="236" name="Picture 236" descr="A collage of different images of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A collage of different images of different colors&#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449476" cy="3474765"/>
                    </a:xfrm>
                    <a:prstGeom prst="rect">
                      <a:avLst/>
                    </a:prstGeom>
                  </pic:spPr>
                </pic:pic>
              </a:graphicData>
            </a:graphic>
          </wp:inline>
        </w:drawing>
      </w:r>
    </w:p>
    <w:p w14:paraId="56DA972B" w14:textId="64A4A5EA" w:rsidR="00B90D13" w:rsidRPr="00DE6E0C" w:rsidRDefault="00760153" w:rsidP="00DE6E0C">
      <w:pPr>
        <w:spacing w:line="360" w:lineRule="auto"/>
        <w:jc w:val="both"/>
      </w:pPr>
      <w:r>
        <w:rPr>
          <w:noProof/>
        </w:rPr>
        <w:drawing>
          <wp:inline distT="0" distB="0" distL="0" distR="0" wp14:anchorId="1B7DEF68" wp14:editId="7E560CB2">
            <wp:extent cx="5972810" cy="4100830"/>
            <wp:effectExtent l="0" t="0" r="889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72810" cy="4100830"/>
                    </a:xfrm>
                    <a:prstGeom prst="rect">
                      <a:avLst/>
                    </a:prstGeom>
                  </pic:spPr>
                </pic:pic>
              </a:graphicData>
            </a:graphic>
          </wp:inline>
        </w:drawing>
      </w:r>
    </w:p>
    <w:p w14:paraId="0A45FDB8" w14:textId="36B08171" w:rsidR="00760153" w:rsidRDefault="0066471C" w:rsidP="00760153">
      <w:pPr>
        <w:pStyle w:val="Caption"/>
        <w:jc w:val="center"/>
      </w:pPr>
      <w:bookmarkStart w:id="13" w:name="_Ref229560847"/>
      <w:r>
        <w:t xml:space="preserve">Figure </w:t>
      </w:r>
      <w:r>
        <w:fldChar w:fldCharType="begin"/>
      </w:r>
      <w:r>
        <w:instrText xml:space="preserve"> SEQ Figure \* ARABIC </w:instrText>
      </w:r>
      <w:r>
        <w:fldChar w:fldCharType="separate"/>
      </w:r>
      <w:r w:rsidR="00A27D86">
        <w:rPr>
          <w:noProof/>
        </w:rPr>
        <w:t>8</w:t>
      </w:r>
      <w:r>
        <w:fldChar w:fldCharType="end"/>
      </w:r>
      <w:bookmarkEnd w:id="13"/>
      <w:r>
        <w:t xml:space="preserve">: </w:t>
      </w:r>
      <w:r w:rsidR="00760153" w:rsidRPr="00760153">
        <w:t xml:space="preserve">Optical microscopy and AFM images of embedded wollastonite samples before and after carbonation at 60°C and 9 °C. Panels (a–d) show optical microscopic images of the </w:t>
      </w:r>
      <w:r w:rsidR="00760153" w:rsidRPr="00760153">
        <w:lastRenderedPageBreak/>
        <w:t>polished and carbonated samples, where the colorful appearance of the carbonated regions arises from white-light interference and reflects carbonation-induced surface alteration. Panels (e–g) present AFM topography images of the polished reference and the carbonated surfaces at 60°C and 90°C, while panels (h–j) show the corresponding AFM phase images. The combined optical and AFM observations reveal clear carbonation-induced changes in surface appearance, topography, and local surface heterogeneity.</w:t>
      </w:r>
    </w:p>
    <w:p w14:paraId="75D86921" w14:textId="77777777" w:rsidR="00760153" w:rsidRDefault="00760153" w:rsidP="0066471C">
      <w:pPr>
        <w:pStyle w:val="Caption"/>
        <w:jc w:val="center"/>
      </w:pPr>
    </w:p>
    <w:p w14:paraId="0B7DC4C3" w14:textId="77777777" w:rsidR="0066471C" w:rsidRDefault="0066471C" w:rsidP="0066471C">
      <w:pPr>
        <w:pStyle w:val="Heading1"/>
        <w:numPr>
          <w:ilvl w:val="0"/>
          <w:numId w:val="0"/>
        </w:numPr>
        <w:ind w:left="432"/>
        <w:rPr>
          <w:color w:val="auto"/>
        </w:rPr>
      </w:pPr>
      <w:r w:rsidRPr="00857856">
        <w:rPr>
          <w:color w:val="auto"/>
        </w:rPr>
        <w:t>Conclusion</w:t>
      </w:r>
    </w:p>
    <w:p w14:paraId="72F21D77" w14:textId="77777777" w:rsidR="0066471C" w:rsidRPr="008966C9" w:rsidRDefault="0066471C" w:rsidP="0066471C">
      <w:pPr>
        <w:pStyle w:val="BodyText"/>
      </w:pPr>
    </w:p>
    <w:p w14:paraId="79F4A8DD" w14:textId="35314EC8" w:rsidR="009013E0" w:rsidRDefault="009013E0" w:rsidP="009013E0">
      <w:pPr>
        <w:spacing w:after="120" w:line="360" w:lineRule="auto"/>
        <w:jc w:val="both"/>
      </w:pPr>
      <w:r>
        <w:t xml:space="preserve">Wet wollastonite carbonation under </w:t>
      </w:r>
      <w:r w:rsidR="0096109B">
        <w:t>mild</w:t>
      </w:r>
      <w:r>
        <w:t xml:space="preserve"> conditions was investigated using a time-resolved approach over 25</w:t>
      </w:r>
      <w:r w:rsidR="0096109B">
        <w:t>°C</w:t>
      </w:r>
      <w:r w:rsidR="0096109B">
        <w:t xml:space="preserve"> </w:t>
      </w:r>
      <w:r>
        <w:t>–90°C, together with a particle-size comparison at 90°C. Carbonation proved strongly temperature dependent, with both reaction rate and final conversion increasing substantially with temperature.</w:t>
      </w:r>
    </w:p>
    <w:p w14:paraId="0B3269A5" w14:textId="3FD6CE0E" w:rsidR="009013E0" w:rsidRDefault="009013E0" w:rsidP="009013E0">
      <w:pPr>
        <w:spacing w:after="120" w:line="360" w:lineRule="auto"/>
        <w:jc w:val="both"/>
      </w:pPr>
      <w:r>
        <w:t xml:space="preserve">Kinetic analysis showed that the process cannot be described by a single invariant mechanism across the full temperature range. The </w:t>
      </w:r>
      <w:proofErr w:type="spellStart"/>
      <w:r>
        <w:t>Avrami</w:t>
      </w:r>
      <w:proofErr w:type="spellEnd"/>
      <w:r>
        <w:t xml:space="preserve"> model fit the data well at all temperatures, indicating that nucleation-and-growth-type transformation remains relevant throughout. However, changes in the </w:t>
      </w:r>
      <w:proofErr w:type="spellStart"/>
      <w:r>
        <w:t>Avrami</w:t>
      </w:r>
      <w:proofErr w:type="spellEnd"/>
      <w:r>
        <w:t xml:space="preserve"> exponent and the Arrhenius behavior obtained from different kinetic models revealed that the relative contributions of dissolution, precipitation, and transport processes vary with temperature. Despite differences in the single-temperature model fits, the Arrhenius plots derived from the </w:t>
      </w:r>
      <w:proofErr w:type="spellStart"/>
      <w:r>
        <w:t>Avrami</w:t>
      </w:r>
      <w:proofErr w:type="spellEnd"/>
      <w:r>
        <w:t xml:space="preserve"> and SCM rate constants exhibited remarkably similar trends and consistently identified three temperature intervals corresponding to a strongly hindered low-temperature regime, a diffusion-influenced intermediate regime, and a high-temperature mixed-control regime. The intermediate temperature range (45</w:t>
      </w:r>
      <w:r w:rsidR="0096109B">
        <w:t>°C</w:t>
      </w:r>
      <w:r w:rsidR="0096109B">
        <w:t xml:space="preserve"> </w:t>
      </w:r>
      <w:r>
        <w:t>–75°C) showed the most internally consistent behavior, yielding apparent activation energies of approximately 40</w:t>
      </w:r>
      <w:r w:rsidR="0096109B">
        <w:t> </w:t>
      </w:r>
      <w:r w:rsidR="0096109B">
        <w:t>mol⁻¹</w:t>
      </w:r>
      <w:r>
        <w:t>–45</w:t>
      </w:r>
      <w:r w:rsidR="0096109B">
        <w:t> </w:t>
      </w:r>
      <w:r>
        <w:t>kJ</w:t>
      </w:r>
      <w:r w:rsidR="0096109B">
        <w:t> </w:t>
      </w:r>
      <w:r>
        <w:t>mol⁻¹, characteristic of diffusion-influenced control.</w:t>
      </w:r>
    </w:p>
    <w:p w14:paraId="6024F739" w14:textId="12700B65" w:rsidR="009013E0" w:rsidRDefault="009013E0" w:rsidP="009013E0">
      <w:pPr>
        <w:spacing w:after="120" w:line="360" w:lineRule="auto"/>
        <w:jc w:val="both"/>
      </w:pPr>
      <w:r>
        <w:t xml:space="preserve">Characterization results were consistent with the kinetic interpretation. XRD </w:t>
      </w:r>
      <w:r w:rsidR="0096109B">
        <w:t>showed</w:t>
      </w:r>
      <w:r>
        <w:t xml:space="preserve"> progressive wollastonite depletion and calcite formation, with crystallite size increasing with time and temperature. DTG suggested greater carbonate thermal stability at higher temperatures, and SEM showed increasingly developed calcite morphology. Optical microscopy and AFM on embedded substrates carbonated at 60°C and 90°C confirmed surface modification, with changes in topography and phase response supporting formation </w:t>
      </w:r>
      <w:r>
        <w:lastRenderedPageBreak/>
        <w:t xml:space="preserve">of a heterogeneous altered layer associated with carbonate precipitation and/or silica-rich surface products. The </w:t>
      </w:r>
      <w:proofErr w:type="spellStart"/>
      <w:r>
        <w:t>Avrami</w:t>
      </w:r>
      <w:proofErr w:type="spellEnd"/>
      <w:r>
        <w:t xml:space="preserve"> exponent evolution, from ~0.32 at 25°C to ~0.99 at 90°C, further supports progressively less hindered and more structurally developed carbonation with increasing temperature.</w:t>
      </w:r>
    </w:p>
    <w:p w14:paraId="7D0D0152" w14:textId="77777777" w:rsidR="00C37755" w:rsidRDefault="00C37755" w:rsidP="009013E0">
      <w:pPr>
        <w:spacing w:after="120" w:line="360" w:lineRule="auto"/>
        <w:jc w:val="both"/>
      </w:pPr>
      <w:r w:rsidRPr="00C37755">
        <w:t>The particle-size study at 90°C confirmed that the fine fraction carbonated more rapidly and reached higher conversion, reflecting the beneficial effect of increased surface area. However, both fractions exhibited similar apparent kinetic behavior, indicating that particle size primarily influences reaction rate and conversion degree rather than changing the dominant kinetic response. This is consistent with the Arrhenius interpretation for the high-temperature range, where the rate behavior appears to be increasingly affected by CO₂ dissolution and gas–liquid transport limitations rather than by solid dissolution or precipitation alone. The coarse fraction nonetheless promoted the formation of larger and more distinct calcite crystals, indicating that feed particle size also influences the crystallization pathway.</w:t>
      </w:r>
    </w:p>
    <w:p w14:paraId="49FD0394" w14:textId="7BD031A2" w:rsidR="003071C5" w:rsidRPr="0070752D" w:rsidRDefault="009013E0" w:rsidP="009013E0">
      <w:pPr>
        <w:spacing w:after="120" w:line="360" w:lineRule="auto"/>
        <w:jc w:val="both"/>
      </w:pPr>
      <w:r>
        <w:t>Overall, temperature exerted the strongest influence on wet wollastonite carbonation, affecting conversion, apparent rate behavior, and product development. These findings provide an integrated kinetic and microstructural framework for understanding and optimizing wet carbonation of calcium silicates. Nevertheless, the nature, evolution, and limiting role of the passivating product layer require further investigation, as improved understanding will be essential for identifying strategies to mitigate passivation, enhance kinetics, and clarify how evolving process variables influence the reactivity and performance of the resulting carbonated materials, particularly regarding their potential use as supplementary cementitious materials.</w:t>
      </w:r>
    </w:p>
    <w:p w14:paraId="47A31D89" w14:textId="77777777" w:rsidR="00B90D13" w:rsidRPr="00267C17" w:rsidRDefault="00B90D13" w:rsidP="00B90D13">
      <w:pPr>
        <w:pStyle w:val="Heading1"/>
        <w:rPr>
          <w:color w:val="auto"/>
        </w:rPr>
      </w:pPr>
      <w:r w:rsidRPr="00267C17">
        <w:rPr>
          <w:color w:val="auto"/>
        </w:rPr>
        <w:t>Materials and methods</w:t>
      </w:r>
    </w:p>
    <w:p w14:paraId="57B0FF10" w14:textId="350FA3CD" w:rsidR="00B90D13" w:rsidRPr="00267C17" w:rsidRDefault="00B90D13" w:rsidP="0033634E">
      <w:pPr>
        <w:pStyle w:val="Heading2"/>
      </w:pPr>
      <w:r w:rsidRPr="00267C17">
        <w:t>Raw material</w:t>
      </w:r>
    </w:p>
    <w:p w14:paraId="3C35F10A" w14:textId="3A11279F" w:rsidR="00B90D13" w:rsidRPr="00505425" w:rsidRDefault="00B90D13" w:rsidP="000C78A0">
      <w:pPr>
        <w:pStyle w:val="BodyText"/>
        <w:spacing w:line="360" w:lineRule="auto"/>
        <w:jc w:val="both"/>
        <w:rPr>
          <w:vertAlign w:val="superscript"/>
        </w:rPr>
      </w:pPr>
      <w:r w:rsidRPr="003071C5">
        <w:t xml:space="preserve">Natural wollastonite supplied by </w:t>
      </w:r>
      <w:proofErr w:type="spellStart"/>
      <w:r w:rsidRPr="003071C5">
        <w:t>Töpfereibedarf</w:t>
      </w:r>
      <w:proofErr w:type="spellEnd"/>
      <w:r w:rsidRPr="003071C5">
        <w:t xml:space="preserve"> Lehrer </w:t>
      </w:r>
      <w:proofErr w:type="spellStart"/>
      <w:r w:rsidRPr="003071C5">
        <w:t>GesmbH</w:t>
      </w:r>
      <w:proofErr w:type="spellEnd"/>
      <w:r w:rsidRPr="003071C5">
        <w:t xml:space="preserve"> (Austria) was used as the starting material in this study. The material was used as received, without further purification; only grinding was applied where required. Prior to carbonation, the feedstock was characterized to define its initial chemical, mineralogical, and physical properties. </w:t>
      </w:r>
      <w:r w:rsidRPr="008F0694">
        <w:t xml:space="preserve">X-ray </w:t>
      </w:r>
      <w:r w:rsidRPr="008F0694">
        <w:lastRenderedPageBreak/>
        <w:t>fluorescence</w:t>
      </w:r>
      <w:r w:rsidRPr="003071C5">
        <w:t xml:space="preserve"> </w:t>
      </w:r>
      <w:r>
        <w:t>(</w:t>
      </w:r>
      <w:r w:rsidRPr="003071C5">
        <w:t>XRF</w:t>
      </w:r>
      <w:r>
        <w:t>)</w:t>
      </w:r>
      <w:r w:rsidRPr="003071C5">
        <w:t xml:space="preserve"> confirmed a Ca–Si composition consistent with natural wollastonite, with </w:t>
      </w:r>
      <w:proofErr w:type="spellStart"/>
      <w:r w:rsidRPr="003071C5">
        <w:t>CaO</w:t>
      </w:r>
      <w:proofErr w:type="spellEnd"/>
      <w:r w:rsidRPr="003071C5">
        <w:t xml:space="preserve"> and </w:t>
      </w:r>
      <w:proofErr w:type="spellStart"/>
      <w:r w:rsidRPr="003071C5">
        <w:t>SiO</w:t>
      </w:r>
      <w:proofErr w:type="spellEnd"/>
      <w:r w:rsidRPr="003071C5">
        <w:t xml:space="preserve">₂ contents of 42.9 and 51.8 % (m/m), respectively. </w:t>
      </w:r>
      <w:r w:rsidRPr="00D50BD6">
        <w:t>X-ray diffraction (XRD)</w:t>
      </w:r>
      <w:r w:rsidRPr="003071C5">
        <w:t xml:space="preserve"> identified wollastonite as the predominant crystalline phase, with minor calcite also detected. Laser-diffraction analysis showed that the ground sample was finer than the non-ground sample, with </w:t>
      </w:r>
      <w:r w:rsidRPr="00267C17">
        <w:rPr>
          <w:rFonts w:ascii="Times New Roman" w:eastAsia="Times New Roman" w:hAnsi="Times New Roman" w:cs="Times New Roman"/>
          <w:i/>
        </w:rPr>
        <w:t>d</w:t>
      </w:r>
      <w:r w:rsidRPr="00267C17">
        <w:rPr>
          <w:rFonts w:ascii="Times New Roman" w:eastAsia="Times New Roman" w:hAnsi="Times New Roman" w:cs="Times New Roman"/>
          <w:vertAlign w:val="subscript"/>
        </w:rPr>
        <w:t>90,3</w:t>
      </w:r>
      <w:r>
        <w:rPr>
          <w:rFonts w:ascii="Times New Roman" w:eastAsia="Times New Roman" w:hAnsi="Times New Roman" w:cs="Times New Roman"/>
        </w:rPr>
        <w:t> </w:t>
      </w:r>
      <w:r w:rsidRPr="003071C5">
        <w:t>​ values of 24</w:t>
      </w:r>
      <w:r>
        <w:t> </w:t>
      </w:r>
      <w:proofErr w:type="spellStart"/>
      <w:r w:rsidRPr="003071C5">
        <w:t>μm</w:t>
      </w:r>
      <w:proofErr w:type="spellEnd"/>
      <w:r w:rsidRPr="003071C5">
        <w:t xml:space="preserve"> and 42.7</w:t>
      </w:r>
      <w:r>
        <w:t> </w:t>
      </w:r>
      <w:proofErr w:type="spellStart"/>
      <w:r w:rsidRPr="003071C5">
        <w:t>μm</w:t>
      </w:r>
      <w:proofErr w:type="spellEnd"/>
      <w:r w:rsidRPr="003071C5">
        <w:t xml:space="preserve">, respectively. </w:t>
      </w:r>
      <w:proofErr w:type="spellStart"/>
      <w:r w:rsidRPr="00D50BD6">
        <w:t>Brunauer</w:t>
      </w:r>
      <w:proofErr w:type="spellEnd"/>
      <w:r w:rsidRPr="00D50BD6">
        <w:t xml:space="preserve">-Emmett-Teller </w:t>
      </w:r>
      <w:r>
        <w:t>(</w:t>
      </w:r>
      <w:r w:rsidRPr="003071C5">
        <w:t>BET</w:t>
      </w:r>
      <w:r>
        <w:t>)</w:t>
      </w:r>
      <w:r w:rsidRPr="003071C5">
        <w:t xml:space="preserve"> and helium </w:t>
      </w:r>
      <w:proofErr w:type="spellStart"/>
      <w:r w:rsidRPr="003071C5">
        <w:t>pycnometry</w:t>
      </w:r>
      <w:proofErr w:type="spellEnd"/>
      <w:r w:rsidRPr="003071C5">
        <w:t xml:space="preserve"> gave an initial specific surface area of 4.67 m²/g and a skeletal density of 2.895 g/cm³</w:t>
      </w:r>
      <w:r>
        <w:t xml:space="preserve"> </w:t>
      </w:r>
      <w:r>
        <w:fldChar w:fldCharType="begin"/>
      </w:r>
      <w:r w:rsidR="000C78A0">
        <w:instrText xml:space="preserve"> ADDIN ZOTERO_ITEM CSL_CITATION {"citationID":"PLYLp7DF","properties":{"unsorted":false,"formattedCitation":"[38]","plainCitation":"[38]","noteIndex":0},"citationItems":[{"id":311,"uris":["http://zotero.org/users/local/CPEr2PVS/items/Y67YE968"],"itemData":{"id":311,"type":"book","title":"Handbook of Mineralogy","author":[{"family":"Nichols, M.C","given":"Anthony","suffix":"J.W"}]}}],"schema":"https://github.com/citation-style-language/schema/raw/master/csl-citation.json"} </w:instrText>
      </w:r>
      <w:r>
        <w:fldChar w:fldCharType="separate"/>
      </w:r>
      <w:r w:rsidR="000C78A0" w:rsidRPr="000C78A0">
        <w:t>[38]</w:t>
      </w:r>
      <w:r>
        <w:fldChar w:fldCharType="end"/>
      </w:r>
      <w:r w:rsidRPr="003071C5">
        <w:t xml:space="preserve"> . Detailed composition, phase, particle-size data, and characterization settings are provided in </w:t>
      </w:r>
      <w:r w:rsidR="00505425">
        <w:t>the Supporting Information (</w:t>
      </w:r>
      <w:proofErr w:type="spellStart"/>
      <w:r w:rsidR="00505425">
        <w:fldChar w:fldCharType="begin"/>
      </w:r>
      <w:r w:rsidR="00505425">
        <w:instrText xml:space="preserve"> REF _Ref231536437 \h </w:instrText>
      </w:r>
      <w:r w:rsidR="00505425">
        <w:fldChar w:fldCharType="separate"/>
      </w:r>
      <w:r w:rsidR="00A27D86">
        <w:t>TableS</w:t>
      </w:r>
      <w:proofErr w:type="spellEnd"/>
      <w:r w:rsidR="00A27D86">
        <w:t xml:space="preserve"> </w:t>
      </w:r>
      <w:r w:rsidR="00A27D86">
        <w:rPr>
          <w:noProof/>
        </w:rPr>
        <w:t>1</w:t>
      </w:r>
      <w:r w:rsidR="00505425">
        <w:fldChar w:fldCharType="end"/>
      </w:r>
      <w:r w:rsidR="00505425">
        <w:t>,</w:t>
      </w:r>
      <w:r w:rsidR="00505425">
        <w:fldChar w:fldCharType="begin"/>
      </w:r>
      <w:r w:rsidR="00505425">
        <w:instrText xml:space="preserve"> REF _Ref231536463 \h </w:instrText>
      </w:r>
      <w:r w:rsidR="00505425">
        <w:fldChar w:fldCharType="separate"/>
      </w:r>
      <w:r w:rsidR="00A27D86">
        <w:t xml:space="preserve">TableS </w:t>
      </w:r>
      <w:r w:rsidR="00A27D86">
        <w:rPr>
          <w:noProof/>
        </w:rPr>
        <w:t>2</w:t>
      </w:r>
      <w:r w:rsidR="00505425">
        <w:fldChar w:fldCharType="end"/>
      </w:r>
      <w:r w:rsidR="00505425">
        <w:t>,</w:t>
      </w:r>
      <w:r w:rsidR="00505425">
        <w:fldChar w:fldCharType="begin"/>
      </w:r>
      <w:r w:rsidR="00505425">
        <w:instrText xml:space="preserve"> REF _Ref231536473 \h </w:instrText>
      </w:r>
      <w:r w:rsidR="00505425">
        <w:fldChar w:fldCharType="separate"/>
      </w:r>
      <w:r w:rsidR="00A27D86">
        <w:t xml:space="preserve">TableS </w:t>
      </w:r>
      <w:r w:rsidR="00A27D86">
        <w:rPr>
          <w:noProof/>
        </w:rPr>
        <w:t>3</w:t>
      </w:r>
      <w:r w:rsidR="00505425">
        <w:fldChar w:fldCharType="end"/>
      </w:r>
      <w:r w:rsidR="00505425">
        <w:t>)</w:t>
      </w:r>
      <w:r w:rsidRPr="003071C5">
        <w:t>.</w:t>
      </w:r>
    </w:p>
    <w:p w14:paraId="7C6CD982" w14:textId="77777777" w:rsidR="00B90D13" w:rsidRPr="00267C17" w:rsidRDefault="00B90D13" w:rsidP="00B90D13">
      <w:pPr>
        <w:pStyle w:val="Heading2"/>
        <w:rPr>
          <w:color w:val="auto"/>
        </w:rPr>
      </w:pPr>
      <w:r w:rsidRPr="00267C17">
        <w:rPr>
          <w:color w:val="auto"/>
        </w:rPr>
        <w:t>Wet Carbonation Experimental Procedure</w:t>
      </w:r>
    </w:p>
    <w:p w14:paraId="76E13800" w14:textId="7F17F8EA" w:rsidR="00B90D13" w:rsidRPr="00267C17" w:rsidRDefault="00B90D13" w:rsidP="00B90D13">
      <w:pPr>
        <w:pStyle w:val="BodyText"/>
        <w:spacing w:line="360" w:lineRule="auto"/>
        <w:jc w:val="both"/>
      </w:pPr>
      <w:r w:rsidRPr="00267C17">
        <w:t>The carbonation experiments were carried out at atmospheric pressure in a batch reflux setup (</w:t>
      </w:r>
      <w:r w:rsidRPr="00267C17">
        <w:fldChar w:fldCharType="begin"/>
      </w:r>
      <w:r w:rsidRPr="00267C17">
        <w:instrText xml:space="preserve"> REF _Ref228268063 \h </w:instrText>
      </w:r>
      <w:r w:rsidRPr="00267C17">
        <w:fldChar w:fldCharType="separate"/>
      </w:r>
      <w:r w:rsidR="00A27D86" w:rsidRPr="00267C17">
        <w:t xml:space="preserve">Figure </w:t>
      </w:r>
      <w:r w:rsidR="00A27D86">
        <w:rPr>
          <w:noProof/>
        </w:rPr>
        <w:t>9</w:t>
      </w:r>
      <w:r w:rsidRPr="00267C17">
        <w:fldChar w:fldCharType="end"/>
      </w:r>
      <w:r w:rsidRPr="00267C17">
        <w:t>).</w:t>
      </w:r>
    </w:p>
    <w:p w14:paraId="392E47DE" w14:textId="23CCE93D" w:rsidR="00B90D13" w:rsidRPr="00267C17" w:rsidRDefault="00B90D13" w:rsidP="00B90D13">
      <w:pPr>
        <w:pStyle w:val="BodyText"/>
        <w:spacing w:line="360" w:lineRule="auto"/>
        <w:jc w:val="both"/>
      </w:pPr>
      <w:r w:rsidRPr="003071C5">
        <w:t>Prior to carbonation, wollastonite was ground in a disc mill (</w:t>
      </w:r>
      <w:proofErr w:type="spellStart"/>
      <w:r w:rsidRPr="003071C5">
        <w:t>Retsch</w:t>
      </w:r>
      <w:proofErr w:type="spellEnd"/>
      <w:r w:rsidRPr="003071C5">
        <w:t xml:space="preserve"> RS 200, Germany) for 10 minutes unless otherwise specified. Once the reactor reached the target temperature and the CO₂ flow stabilized, the solid was introduced according to the selected solid-to-liquid ratio. Carbonation experiments were conducted under otherwise identical conditions </w:t>
      </w:r>
      <w:r w:rsidRPr="00267C17">
        <w:t>(</w:t>
      </w:r>
      <w:r w:rsidR="00F52BE7">
        <w:t>S/L = 10%, Rotational speed = 900 rpm, CO</w:t>
      </w:r>
      <w:r w:rsidR="00F52BE7" w:rsidRPr="00FF32E5">
        <w:rPr>
          <w:vertAlign w:val="subscript"/>
        </w:rPr>
        <w:t>2</w:t>
      </w:r>
      <w:r w:rsidR="00F52BE7">
        <w:t xml:space="preserve"> flow rate = 700 ml min</w:t>
      </w:r>
      <w:r w:rsidR="00F52BE7" w:rsidRPr="00FF32E5">
        <w:rPr>
          <w:vertAlign w:val="superscript"/>
        </w:rPr>
        <w:t>-1</w:t>
      </w:r>
      <w:r w:rsidRPr="00267C17">
        <w:t xml:space="preserve">), </w:t>
      </w:r>
      <w:r w:rsidRPr="003071C5">
        <w:t xml:space="preserve">with temperature varied between 25°C and 90°C for kinetic analysis. To assess the effect of particle size, additional experiments at 90°C compared a finely ground sample with a </w:t>
      </w:r>
      <w:proofErr w:type="gramStart"/>
      <w:r w:rsidRPr="003071C5">
        <w:t>coarse</w:t>
      </w:r>
      <w:proofErr w:type="gramEnd"/>
      <w:r w:rsidRPr="003071C5">
        <w:t>, non-ground sample. Following the reaction, the slurry was dried at 105°C for 12 hours before further analysis.</w:t>
      </w:r>
    </w:p>
    <w:p w14:paraId="3F87F0D5" w14:textId="77777777" w:rsidR="00B90D13" w:rsidRPr="00267C17" w:rsidRDefault="00B90D13" w:rsidP="00B90D13">
      <w:pPr>
        <w:pStyle w:val="BodyText"/>
        <w:spacing w:line="360" w:lineRule="auto"/>
        <w:jc w:val="center"/>
      </w:pPr>
      <w:r w:rsidRPr="00267C17">
        <w:rPr>
          <w:noProof/>
        </w:rPr>
        <w:lastRenderedPageBreak/>
        <w:drawing>
          <wp:inline distT="0" distB="0" distL="0" distR="0" wp14:anchorId="72854542" wp14:editId="7DBEFBFE">
            <wp:extent cx="3851910" cy="2751540"/>
            <wp:effectExtent l="0" t="0" r="0" b="0"/>
            <wp:docPr id="19" name="Picture 19" descr="Diagram of a scientific experi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 of a scientific experiment&#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54408" cy="2753324"/>
                    </a:xfrm>
                    <a:prstGeom prst="rect">
                      <a:avLst/>
                    </a:prstGeom>
                  </pic:spPr>
                </pic:pic>
              </a:graphicData>
            </a:graphic>
          </wp:inline>
        </w:drawing>
      </w:r>
    </w:p>
    <w:p w14:paraId="5D2EE568" w14:textId="129498DF" w:rsidR="00B90D13" w:rsidRPr="00267C17" w:rsidRDefault="00B90D13" w:rsidP="00B90D13">
      <w:pPr>
        <w:pStyle w:val="Caption"/>
        <w:jc w:val="center"/>
      </w:pPr>
      <w:bookmarkStart w:id="14" w:name="_Ref228268063"/>
      <w:r w:rsidRPr="00267C17">
        <w:t xml:space="preserve">Figure </w:t>
      </w:r>
      <w:r w:rsidRPr="00267C17">
        <w:fldChar w:fldCharType="begin"/>
      </w:r>
      <w:r w:rsidRPr="00267C17">
        <w:instrText xml:space="preserve"> SEQ Figure \* ARABIC </w:instrText>
      </w:r>
      <w:r w:rsidRPr="00267C17">
        <w:fldChar w:fldCharType="separate"/>
      </w:r>
      <w:r w:rsidR="00A27D86">
        <w:rPr>
          <w:noProof/>
        </w:rPr>
        <w:t>9</w:t>
      </w:r>
      <w:r w:rsidRPr="00267C17">
        <w:fldChar w:fldCharType="end"/>
      </w:r>
      <w:bookmarkEnd w:id="14"/>
      <w:r w:rsidRPr="00267C17">
        <w:t xml:space="preserve"> Schematic </w:t>
      </w:r>
      <w:bookmarkStart w:id="15" w:name="_Hlk230619516"/>
      <w:r w:rsidRPr="00267C17">
        <w:t>of the atmospheric-pressure batch reactor used for wet wollastonite carbonation, comprising a three-necked flask, condenser, thermometer, magnetic stirring, temperature-controlled water bath, and regulated CO₂ gas inlet.</w:t>
      </w:r>
    </w:p>
    <w:bookmarkEnd w:id="15"/>
    <w:p w14:paraId="6B23B24D" w14:textId="77777777" w:rsidR="00B90D13" w:rsidRPr="00267C17" w:rsidRDefault="00B90D13" w:rsidP="00B90D13">
      <w:pPr>
        <w:pStyle w:val="Caption"/>
        <w:jc w:val="center"/>
      </w:pPr>
    </w:p>
    <w:p w14:paraId="74A86313" w14:textId="77777777" w:rsidR="00B90D13" w:rsidRPr="00267C17" w:rsidRDefault="00B90D13" w:rsidP="00B90D13">
      <w:pPr>
        <w:pStyle w:val="Heading2"/>
        <w:rPr>
          <w:color w:val="auto"/>
        </w:rPr>
      </w:pPr>
      <w:r w:rsidRPr="00267C17">
        <w:rPr>
          <w:color w:val="auto"/>
        </w:rPr>
        <w:t>Characterization Methods</w:t>
      </w:r>
    </w:p>
    <w:p w14:paraId="7AEDCE27" w14:textId="3E28C0AF" w:rsidR="00B90D13" w:rsidRPr="00267C17" w:rsidRDefault="00B90D13" w:rsidP="000C78A0">
      <w:pPr>
        <w:pStyle w:val="BodyText"/>
        <w:spacing w:line="360" w:lineRule="auto"/>
        <w:jc w:val="both"/>
      </w:pPr>
      <w:r w:rsidRPr="008F0694">
        <w:t xml:space="preserve">The chemical composition of the feed material was determined by wavelength-dispersive X-ray fluorescence (WD-XRF) using a </w:t>
      </w:r>
      <w:proofErr w:type="spellStart"/>
      <w:r w:rsidRPr="008F0694">
        <w:t>PANalytical</w:t>
      </w:r>
      <w:proofErr w:type="spellEnd"/>
      <w:r w:rsidRPr="008F0694">
        <w:t xml:space="preserve"> </w:t>
      </w:r>
      <w:proofErr w:type="spellStart"/>
      <w:r w:rsidRPr="008F0694">
        <w:t>AxiosmAX</w:t>
      </w:r>
      <w:proofErr w:type="spellEnd"/>
      <w:r w:rsidRPr="008F0694">
        <w:t xml:space="preserve"> spectrometer (Rh anode). Crystalline phases before and after carbonation were identified by powder</w:t>
      </w:r>
      <w:r>
        <w:t xml:space="preserve"> XRD</w:t>
      </w:r>
      <w:r w:rsidRPr="008F0694">
        <w:t xml:space="preserve"> using a </w:t>
      </w:r>
      <w:proofErr w:type="spellStart"/>
      <w:r w:rsidRPr="008F0694">
        <w:t>PANalytical</w:t>
      </w:r>
      <w:proofErr w:type="spellEnd"/>
      <w:r w:rsidRPr="008F0694">
        <w:t xml:space="preserve"> Empyrean diffractometer (Co radiation), with qualitative phase identification performed in </w:t>
      </w:r>
      <w:proofErr w:type="spellStart"/>
      <w:r w:rsidRPr="008F0694">
        <w:t>PANalytical</w:t>
      </w:r>
      <w:proofErr w:type="spellEnd"/>
      <w:r w:rsidRPr="008F0694">
        <w:t xml:space="preserve"> </w:t>
      </w:r>
      <w:proofErr w:type="spellStart"/>
      <w:r w:rsidRPr="008F0694">
        <w:t>HighScore</w:t>
      </w:r>
      <w:proofErr w:type="spellEnd"/>
      <w:r w:rsidRPr="008F0694">
        <w:t xml:space="preserve"> (3.0.4) using the ICDD PDF-5+ (2025) database, and quantitative phase analysis obtained by Rietveld refinement in </w:t>
      </w:r>
      <w:proofErr w:type="spellStart"/>
      <w:r w:rsidRPr="008F0694">
        <w:t>Profex</w:t>
      </w:r>
      <w:proofErr w:type="spellEnd"/>
      <w:r w:rsidRPr="008F0694">
        <w:t xml:space="preserve"> (5.1.0)</w:t>
      </w:r>
      <w:r w:rsidRPr="00267C17">
        <w:rPr>
          <w:rFonts w:ascii="Times New Roman" w:hAnsi="Times New Roman" w:cs="Times New Roman"/>
        </w:rPr>
        <w:fldChar w:fldCharType="begin"/>
      </w:r>
      <w:r w:rsidR="000C78A0">
        <w:rPr>
          <w:rFonts w:ascii="Times New Roman" w:hAnsi="Times New Roman" w:cs="Times New Roman"/>
        </w:rPr>
        <w:instrText xml:space="preserve"> ADDIN ZOTERO_ITEM CSL_CITATION {"citationID":"mFbMRQa0","properties":{"unsorted":false,"formattedCitation":"[39]","plainCitation":"[39]","noteIndex":0},"citationItems":[{"id":340,"uris":["http://zotero.org/users/local/CPEr2PVS/items/JBGZ9MFX"],"itemData":{"id":340,"type":"article-journal","abstract":"Profex\n              is a graphical user interface for the Rietveld refinement program\n              BGMN\n              . Its interface focuses on preserving\n              BGMN\n              's powerful and flexible scripting features by giving direct access to\n              BGMN\n              input files. Very efficient workflows for single or batch refinements are achieved by managing refinement control files and structure files, by providing dialogues and shortcuts for many operations, by performing operations in the background, and by providing import filters for CIF and XML crystal structure files. Refinement results can be easily exported for further processing. State-of-the-art graphical export of diffraction patterns to pixel and vector graphics formats allows the creation of publication-quality graphs with minimum effort.\n              Profex\n              reads and converts a variety of proprietary raw data formats and is thus largely instrument independent.\n              Profex\n              and\n              BGMN\n              are available under an open-source license for Windows, Linux and OS X operating systems.","container-title":"Journal of Applied Crystallography","DOI":"10.1107/S1600576715014685","ISSN":"1600-5767","issue":"5","journalAbbreviation":"J Appl Crystallogr","page":"1573-1580","source":"DOI.org (Crossref)","title":"&lt;i&gt;Profex&lt;/i&gt; : a graphical user interface for the Rietveld refinement program &lt;i&gt;BGMN&lt;/i&gt;","title-short":"&lt;i&gt;Profex&lt;/i&gt;","volume":"48","author":[{"family":"Doebelin","given":"Nicola"},{"family":"Kleeberg","given":"Reinhard"}],"issued":{"date-parts":[["2015",10,1]]}}}],"schema":"https://github.com/citation-style-language/schema/raw/master/csl-citation.json"} </w:instrText>
      </w:r>
      <w:r w:rsidRPr="00267C17">
        <w:rPr>
          <w:rFonts w:ascii="Times New Roman" w:hAnsi="Times New Roman" w:cs="Times New Roman"/>
        </w:rPr>
        <w:fldChar w:fldCharType="separate"/>
      </w:r>
      <w:r w:rsidR="000C78A0" w:rsidRPr="000C78A0">
        <w:t>[39]</w:t>
      </w:r>
      <w:r w:rsidRPr="00267C17">
        <w:rPr>
          <w:rFonts w:ascii="Times New Roman" w:hAnsi="Times New Roman" w:cs="Times New Roman"/>
        </w:rPr>
        <w:fldChar w:fldCharType="end"/>
      </w:r>
      <w:r w:rsidRPr="00267C17">
        <w:rPr>
          <w:rFonts w:ascii="Times New Roman" w:hAnsi="Times New Roman" w:cs="Times New Roman"/>
        </w:rPr>
        <w:t>.</w:t>
      </w:r>
      <w:r w:rsidRPr="00267C17">
        <w:t xml:space="preserve"> </w:t>
      </w:r>
      <w:r w:rsidRPr="008F0694">
        <w:t xml:space="preserve">CO₂ uptake was quantified by </w:t>
      </w:r>
      <w:r w:rsidRPr="00D50BD6">
        <w:t xml:space="preserve">Thermogravimetric analysis </w:t>
      </w:r>
      <w:r>
        <w:t>(</w:t>
      </w:r>
      <w:r w:rsidRPr="008F0694">
        <w:t>TGA</w:t>
      </w:r>
      <w:r>
        <w:t>)</w:t>
      </w:r>
      <w:r w:rsidRPr="008F0694">
        <w:t xml:space="preserve"> using a NETZSCH TG 309 Libra Classic under nitrogen atmosphere at 20 K</w:t>
      </w:r>
      <w:r>
        <w:t> </w:t>
      </w:r>
      <w:r w:rsidRPr="008F0694">
        <w:t>min</w:t>
      </w:r>
      <w:r w:rsidRPr="004125B6">
        <w:rPr>
          <w:vertAlign w:val="superscript"/>
        </w:rPr>
        <w:t>-1</w:t>
      </w:r>
      <w:r w:rsidRPr="008F0694">
        <w:t xml:space="preserve"> up to 1000°C. Particle size distribution was measured by laser diffraction (</w:t>
      </w:r>
      <w:proofErr w:type="spellStart"/>
      <w:r w:rsidRPr="008F0694">
        <w:t>Sympatec</w:t>
      </w:r>
      <w:proofErr w:type="spellEnd"/>
      <w:r w:rsidRPr="008F0694">
        <w:t xml:space="preserve"> HELOS), and specific surface area by N₂ adsorption (BET method, Micromeritics Gemini VII 2390t). Microstructural and morphological changes were examined by </w:t>
      </w:r>
      <w:r w:rsidRPr="00D50BD6">
        <w:t xml:space="preserve">Scanning Electron Microscopy </w:t>
      </w:r>
      <w:r>
        <w:t>(</w:t>
      </w:r>
      <w:r w:rsidRPr="008F0694">
        <w:t>SEM</w:t>
      </w:r>
      <w:r>
        <w:t>)</w:t>
      </w:r>
      <w:r w:rsidRPr="008F0694">
        <w:t xml:space="preserve">, with elemental distributions analyzed by </w:t>
      </w:r>
      <w:r w:rsidRPr="00267C17">
        <w:t xml:space="preserve">energy-dispersive X-ray spectroscopy </w:t>
      </w:r>
      <w:r w:rsidRPr="008F0694">
        <w:t xml:space="preserve">EDX using a FEI Quanta 650 FEG instrument equipped with Bruker </w:t>
      </w:r>
      <w:proofErr w:type="spellStart"/>
      <w:r w:rsidRPr="008F0694">
        <w:t>Quantax</w:t>
      </w:r>
      <w:proofErr w:type="spellEnd"/>
      <w:r w:rsidRPr="008F0694">
        <w:t xml:space="preserve"> X-Flash 5030 detectors. For </w:t>
      </w:r>
      <w:r w:rsidRPr="00D50BD6">
        <w:t xml:space="preserve">Atomic Force Microscopy </w:t>
      </w:r>
      <w:r>
        <w:t>(</w:t>
      </w:r>
      <w:r w:rsidRPr="008F0694">
        <w:t>AFM</w:t>
      </w:r>
      <w:r>
        <w:t>)</w:t>
      </w:r>
      <w:r w:rsidRPr="008F0694">
        <w:t xml:space="preserve"> characterization, </w:t>
      </w:r>
      <w:r>
        <w:t xml:space="preserve">two larger pieces of natural wollastonite </w:t>
      </w:r>
      <w:r w:rsidRPr="008F0694">
        <w:t xml:space="preserve">(~15 mm) were embedded in a 20 mm epoxy mount, ground, and polished (0.2 µm diamond slurry), then characterized before and after carbonation in the same setup </w:t>
      </w:r>
      <w:r>
        <w:fldChar w:fldCharType="begin"/>
      </w:r>
      <w:r>
        <w:instrText xml:space="preserve"> REF _Ref228268063 \h </w:instrText>
      </w:r>
      <w:r>
        <w:fldChar w:fldCharType="separate"/>
      </w:r>
      <w:r w:rsidR="00A27D86" w:rsidRPr="00267C17">
        <w:t xml:space="preserve">Figure </w:t>
      </w:r>
      <w:r w:rsidR="00A27D86">
        <w:rPr>
          <w:noProof/>
        </w:rPr>
        <w:t>9</w:t>
      </w:r>
      <w:r>
        <w:fldChar w:fldCharType="end"/>
      </w:r>
      <w:r>
        <w:t xml:space="preserve">. </w:t>
      </w:r>
      <w:r w:rsidRPr="008F0694">
        <w:t xml:space="preserve">using a Park </w:t>
      </w:r>
      <w:r w:rsidRPr="008F0694">
        <w:lastRenderedPageBreak/>
        <w:t>Systems NX 12 in tapping mode for height and phase mapping, with Tap300Al-G cantilevers (</w:t>
      </w:r>
      <w:proofErr w:type="spellStart"/>
      <w:r w:rsidRPr="00DE05FA">
        <w:rPr>
          <w:highlight w:val="yellow"/>
        </w:rPr>
        <w:t>Budget</w:t>
      </w:r>
      <w:r w:rsidRPr="008F0694">
        <w:t>Sensors</w:t>
      </w:r>
      <w:proofErr w:type="spellEnd"/>
      <w:r w:rsidRPr="008F0694">
        <w:t>, Bulgaria; nominal resonance frequency 300 kHz).</w:t>
      </w:r>
    </w:p>
    <w:p w14:paraId="100AB0EC" w14:textId="77777777" w:rsidR="00B90D13" w:rsidRPr="00267C17" w:rsidRDefault="00B90D13" w:rsidP="00B90D13">
      <w:pPr>
        <w:pStyle w:val="Heading2"/>
        <w:rPr>
          <w:color w:val="auto"/>
        </w:rPr>
      </w:pPr>
      <w:r w:rsidRPr="00267C17">
        <w:rPr>
          <w:color w:val="auto"/>
        </w:rPr>
        <w:t>Kinetic study design</w:t>
      </w:r>
    </w:p>
    <w:p w14:paraId="0531FFDE" w14:textId="77777777" w:rsidR="00B90D13" w:rsidRPr="003071C5" w:rsidRDefault="00B90D13" w:rsidP="00B90D13">
      <w:pPr>
        <w:pStyle w:val="NormalWeb"/>
        <w:spacing w:line="360" w:lineRule="auto"/>
        <w:jc w:val="both"/>
        <w:rPr>
          <w:rFonts w:ascii="Cambria" w:eastAsia="Cambria" w:hAnsi="Cambria" w:cs="Arial"/>
        </w:rPr>
      </w:pPr>
      <w:r>
        <w:rPr>
          <w:rFonts w:ascii="Cambria" w:eastAsia="Cambria" w:hAnsi="Cambria" w:cs="Arial"/>
        </w:rPr>
        <w:t xml:space="preserve">To investigate the temperature dependence of wet wollastonite carbonation kinetics, experiments were conducted at 25°C, 45°C, 60°C, 75°C, and 90°C while keeping the </w:t>
      </w:r>
      <w:r w:rsidRPr="003071C5">
        <w:rPr>
          <w:rFonts w:ascii="Cambria" w:eastAsia="Cambria" w:hAnsi="Cambria" w:cs="Arial"/>
        </w:rPr>
        <w:t>solid-to-liquid ratio, stirring speed, CO₂ flow rate, and feed particle size constant.</w:t>
      </w:r>
    </w:p>
    <w:p w14:paraId="6A31889D" w14:textId="77777777" w:rsidR="00B90D13" w:rsidRPr="003071C5" w:rsidRDefault="00B90D13" w:rsidP="00B90D13">
      <w:pPr>
        <w:pStyle w:val="NormalWeb"/>
        <w:spacing w:line="360" w:lineRule="auto"/>
        <w:jc w:val="both"/>
        <w:rPr>
          <w:rFonts w:ascii="Cambria" w:eastAsia="Cambria" w:hAnsi="Cambria" w:cs="Arial"/>
        </w:rPr>
      </w:pPr>
      <w:r w:rsidRPr="003071C5">
        <w:rPr>
          <w:rFonts w:ascii="Cambria" w:eastAsia="Cambria" w:hAnsi="Cambria" w:cs="Arial"/>
        </w:rPr>
        <w:t xml:space="preserve">At each temperature, reaction progress was monitored at </w:t>
      </w:r>
      <w:r>
        <w:rPr>
          <w:rFonts w:ascii="Cambria" w:eastAsia="Cambria" w:hAnsi="Cambria" w:cs="Arial"/>
        </w:rPr>
        <w:t>(</w:t>
      </w:r>
      <w:r w:rsidRPr="003071C5">
        <w:rPr>
          <w:rFonts w:ascii="Cambria" w:eastAsia="Cambria" w:hAnsi="Cambria" w:cs="Arial"/>
        </w:rPr>
        <w:t>5, 10, 15, 20, 30, 45, 60, 75, 90, 120, 150, and 180</w:t>
      </w:r>
      <w:r>
        <w:rPr>
          <w:rFonts w:ascii="Cambria" w:eastAsia="Cambria" w:hAnsi="Cambria" w:cs="Arial"/>
        </w:rPr>
        <w:t>)</w:t>
      </w:r>
      <w:r w:rsidRPr="003071C5">
        <w:rPr>
          <w:rFonts w:ascii="Cambria" w:eastAsia="Cambria" w:hAnsi="Cambria" w:cs="Arial"/>
        </w:rPr>
        <w:t xml:space="preserve"> minutes. To maintain constant solid–liquid ratios, hydrodynamic conditions, and gas–liquid interactions, a separate batch run was performed for each time point, giving 12 independent runs per temperature and avoiding artifacts associated with repeated sampling.</w:t>
      </w:r>
    </w:p>
    <w:p w14:paraId="0952EC3E" w14:textId="77777777" w:rsidR="00B90D13" w:rsidRPr="003071C5" w:rsidRDefault="00B90D13" w:rsidP="00B90D13">
      <w:pPr>
        <w:pStyle w:val="NormalWeb"/>
        <w:spacing w:line="360" w:lineRule="auto"/>
        <w:jc w:val="both"/>
        <w:rPr>
          <w:rFonts w:ascii="Cambria" w:eastAsia="Cambria" w:hAnsi="Cambria" w:cs="Arial"/>
        </w:rPr>
      </w:pPr>
      <w:r w:rsidRPr="003071C5">
        <w:rPr>
          <w:rFonts w:ascii="Cambria" w:eastAsia="Cambria" w:hAnsi="Cambria" w:cs="Arial"/>
        </w:rPr>
        <w:t xml:space="preserve">To assess the influence of particle size, additional experiments were conducted at 90°C by comparing a finely ground wollastonite sample with a </w:t>
      </w:r>
      <w:proofErr w:type="gramStart"/>
      <w:r w:rsidRPr="003071C5">
        <w:rPr>
          <w:rFonts w:ascii="Cambria" w:eastAsia="Cambria" w:hAnsi="Cambria" w:cs="Arial"/>
        </w:rPr>
        <w:t>coarse</w:t>
      </w:r>
      <w:proofErr w:type="gramEnd"/>
      <w:r w:rsidRPr="003071C5">
        <w:rPr>
          <w:rFonts w:ascii="Cambria" w:eastAsia="Cambria" w:hAnsi="Cambria" w:cs="Arial"/>
        </w:rPr>
        <w:t>, non-ground sample under otherwise identical conditions.</w:t>
      </w:r>
    </w:p>
    <w:p w14:paraId="4D3DCE01" w14:textId="1B0A1D33" w:rsidR="00B90D13" w:rsidRPr="003071C5" w:rsidRDefault="00B90D13" w:rsidP="00B90D13">
      <w:pPr>
        <w:pStyle w:val="NormalWeb"/>
        <w:spacing w:line="360" w:lineRule="auto"/>
        <w:jc w:val="both"/>
        <w:rPr>
          <w:rFonts w:ascii="Cambria" w:eastAsia="Cambria" w:hAnsi="Cambria" w:cs="Arial"/>
        </w:rPr>
      </w:pPr>
      <w:r w:rsidRPr="003071C5">
        <w:rPr>
          <w:rFonts w:ascii="Cambria" w:eastAsia="Cambria" w:hAnsi="Cambria" w:cs="Arial"/>
        </w:rPr>
        <w:t>All datasets were evaluated using</w:t>
      </w:r>
      <w:r w:rsidR="00505425">
        <w:rPr>
          <w:rFonts w:ascii="Cambria" w:eastAsia="Cambria" w:hAnsi="Cambria" w:cs="Arial"/>
        </w:rPr>
        <w:t xml:space="preserve"> the linearized form of the </w:t>
      </w:r>
      <w:proofErr w:type="spellStart"/>
      <w:r w:rsidRPr="003071C5">
        <w:rPr>
          <w:rFonts w:ascii="Cambria" w:eastAsia="Cambria" w:hAnsi="Cambria" w:cs="Arial"/>
        </w:rPr>
        <w:t>Avrami</w:t>
      </w:r>
      <w:proofErr w:type="spellEnd"/>
      <w:r w:rsidRPr="003071C5">
        <w:rPr>
          <w:rFonts w:ascii="Cambria" w:eastAsia="Cambria" w:hAnsi="Cambria" w:cs="Arial"/>
        </w:rPr>
        <w:t xml:space="preserve"> model, the shrinking-core model with surface chemical reaction control, and the shrinking-core model with diffusion control. The fitted kinetic parameters were then used in Arrhenius-type analysis to estimate the apparent activation energies of the dominant carbonation regimes.</w:t>
      </w:r>
    </w:p>
    <w:p w14:paraId="5714E124" w14:textId="77777777" w:rsidR="00B90D13" w:rsidRPr="00267C17" w:rsidRDefault="00B90D13" w:rsidP="00B90D13">
      <w:pPr>
        <w:pStyle w:val="Heading2"/>
        <w:rPr>
          <w:color w:val="auto"/>
        </w:rPr>
      </w:pPr>
      <w:r w:rsidRPr="00267C17">
        <w:rPr>
          <w:color w:val="auto"/>
        </w:rPr>
        <w:t>CO₂ uptake and conversion determination</w:t>
      </w:r>
    </w:p>
    <w:p w14:paraId="570E07AE" w14:textId="3615BFB0" w:rsidR="00B90D13" w:rsidRDefault="00B90D13" w:rsidP="000C78A0">
      <w:pPr>
        <w:pStyle w:val="BodyText"/>
        <w:spacing w:line="360" w:lineRule="auto"/>
        <w:jc w:val="both"/>
      </w:pPr>
      <w:r w:rsidRPr="00267C17">
        <w:t>The theoretical CO₂ uptake of wollastonite was estimated from the bulk chemical composition measured by XRF</w:t>
      </w:r>
      <w:r w:rsidR="00DE05FA">
        <w:t xml:space="preserve"> (</w:t>
      </w:r>
      <w:proofErr w:type="spellStart"/>
      <w:r w:rsidR="00FF32E5">
        <w:fldChar w:fldCharType="begin"/>
      </w:r>
      <w:r w:rsidR="00FF32E5">
        <w:instrText xml:space="preserve"> REF _Ref231536437 \h </w:instrText>
      </w:r>
      <w:r w:rsidR="00FF32E5">
        <w:fldChar w:fldCharType="separate"/>
      </w:r>
      <w:r w:rsidR="00FF32E5">
        <w:t>TableS</w:t>
      </w:r>
      <w:proofErr w:type="spellEnd"/>
      <w:r w:rsidR="00FF32E5">
        <w:t xml:space="preserve"> </w:t>
      </w:r>
      <w:r w:rsidR="00FF32E5">
        <w:rPr>
          <w:noProof/>
        </w:rPr>
        <w:t>1</w:t>
      </w:r>
      <w:r w:rsidR="00FF32E5">
        <w:fldChar w:fldCharType="end"/>
      </w:r>
      <w:r w:rsidR="00DE05FA">
        <w:t>)</w:t>
      </w:r>
      <w:r w:rsidRPr="00267C17">
        <w:t>, assuming carbonation of the reactive Ca- and Mg-bearing components. Based on the natural carbonate content of the feed measured by TGA, the theoretical CO₂ uptake was calculated as</w:t>
      </w:r>
      <w:r>
        <w:t xml:space="preserve"> </w:t>
      </w:r>
      <w:r>
        <w:fldChar w:fldCharType="begin"/>
      </w:r>
      <w:r w:rsidR="000C78A0">
        <w:instrText xml:space="preserve"> ADDIN ZOTERO_ITEM CSL_CITATION {"citationID":"2NslQ2fH","properties":{"unsorted":false,"formattedCitation":"[31]","plainCitation":"[31]","noteIndex":0},"citationItems":[{"id":382,"uris":["http://zotero.org/users/local/CPEr2PVS/items/BBAXW9MK"],"itemData":{"id":382,"type":"article","abstract":"Calcium silicate  minerals, including wollastonite, are considered promising feedstocks for mineral carbonation, particularly for applications in low-carbon building and construction materials; however, the mechanisms governing their behavior under near-ambient wet conditions are not yet fully understood. This study examines the mechanistic influence of specific operational parameters on wollastonite wet carbonation under additive-free, near-ambient conditions. Two representative carbonated samples, exhibiting low (approximately 6 %) and high (approximately 50 %) carbonation efficiencies, were selected from a systematic screening for detailed analysis. These samples exemplify contrasting regimes of gas-liquid and solid-liquid mass transfer, primarily influenced by CO₂ flow rate and agitation speed. An integrated characterization strategy, incorporating XRF, TGA, XRD, BET, Pycnometry, and SEM-EDX, along with time-resolved kinetic model fitting, was employed. Phase and microstructural analyses reveal limited carbonate formation and sparse, discontinuous precipitates under mass-transfer-limited conditions, whereas extensive calcite precipitation and coalescing intergranular carbonate domains develop when mass transfer is enhanced. Variations in specific surface area, skeletal density, and thermal decomposition behavior correspond to progressive carbonate maturation during the reaction. Kinetic analysis of independent batch experiments at varying carbonation times indicates that both the Avrami model and the surface-reaction-controlled shrinking-core model accurately describe the reaction from the initial stages and remain applicable throughout the process. At extended reaction times, the diffusion-controlled shrinking-core model fits the data, reflecting the increasing significance of diffusional resistance as a carbonate-silica product layer forms.These findings establish a mechanistic link between operating conditions and reaction pathways during near-ambient wet wollastonite carbonation.","DOI":"10.2139/ssrn.6672664","publisher":"SSRN","source":"DOI.org (Crossref)","title":"Regimes in Wet Wollastonite Carbonation: A Comparative Kinetics and Multi-Technique Investigation​","title-short":"Regimes in Wet Wollastonite Carbonation","URL":"https://www.ssrn.com/abstract=6672664","author":[{"family":"Homaee","given":"Sahra"},{"family":"Moeckel","given":"Robert"},{"family":"Ebert","given":"Doreen"},{"family":"Rudolph","given":"Martin"}],"accessed":{"date-parts":[["2026",5,9]]},"issued":{"date-parts":[["2026"]]}}}],"schema":"https://github.com/citation-style-language/schema/raw/master/csl-citation.json"} </w:instrText>
      </w:r>
      <w:r>
        <w:fldChar w:fldCharType="separate"/>
      </w:r>
      <w:r w:rsidR="000C78A0" w:rsidRPr="000C78A0">
        <w:t>[31]</w:t>
      </w:r>
      <w:r>
        <w:fldChar w:fldCharType="end"/>
      </w:r>
      <w:r w:rsidRPr="00267C17">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5"/>
        <w:gridCol w:w="671"/>
      </w:tblGrid>
      <w:tr w:rsidR="0086092E" w14:paraId="628C3F89" w14:textId="77777777" w:rsidTr="0086092E">
        <w:tc>
          <w:tcPr>
            <w:tcW w:w="8725" w:type="dxa"/>
          </w:tcPr>
          <w:p w14:paraId="7C3DE6D0" w14:textId="0042D913" w:rsidR="0086092E" w:rsidRPr="0086092E" w:rsidRDefault="0086092E" w:rsidP="0086092E">
            <w:pPr>
              <w:pStyle w:val="BodyText"/>
              <w:spacing w:line="360" w:lineRule="auto"/>
              <w:jc w:val="both"/>
              <w:rPr>
                <w:rFonts w:ascii="Times New Roman" w:hAnsi="Times New Roman" w:cs="Times New Roman"/>
              </w:rPr>
            </w:pPr>
            <w:r w:rsidRPr="00267C17">
              <w:rPr>
                <w:rFonts w:ascii="Times New Roman" w:hAnsi="Times New Roman" w:cs="Times New Roman"/>
              </w:rPr>
              <w:t>Theoretical CO</w:t>
            </w:r>
            <w:r w:rsidRPr="00267C17">
              <w:rPr>
                <w:rFonts w:ascii="Times New Roman" w:hAnsi="Times New Roman" w:cs="Times New Roman"/>
                <w:vertAlign w:val="subscript"/>
              </w:rPr>
              <w:t>2</w:t>
            </w:r>
            <w:r w:rsidRPr="00267C17">
              <w:rPr>
                <w:rFonts w:ascii="Times New Roman" w:hAnsi="Times New Roman" w:cs="Times New Roman"/>
              </w:rPr>
              <w:t xml:space="preserve"> Uptake (%) = (0.78·</w:t>
            </w:r>
            <w:r>
              <w:rPr>
                <w:rFonts w:ascii="Times New Roman" w:hAnsi="Times New Roman" w:cs="Times New Roman"/>
                <w:i/>
              </w:rPr>
              <w:t>Z</w:t>
            </w:r>
            <w:r w:rsidRPr="00267C17">
              <w:rPr>
                <w:rFonts w:ascii="Times New Roman" w:hAnsi="Times New Roman" w:cs="Times New Roman"/>
              </w:rPr>
              <w:t xml:space="preserve"> + 1.1·</w:t>
            </w:r>
            <w:r w:rsidRPr="00FC7690">
              <w:rPr>
                <w:rFonts w:ascii="Times New Roman" w:hAnsi="Times New Roman" w:cs="Times New Roman"/>
                <w:i/>
              </w:rPr>
              <w:t>Y</w:t>
            </w:r>
            <w:r w:rsidRPr="00267C17">
              <w:rPr>
                <w:rFonts w:ascii="Times New Roman" w:hAnsi="Times New Roman" w:cs="Times New Roman"/>
              </w:rPr>
              <w:t>) *100 % - Natural CO</w:t>
            </w:r>
            <w:r w:rsidRPr="00267C17">
              <w:rPr>
                <w:rFonts w:ascii="Times New Roman" w:hAnsi="Times New Roman" w:cs="Times New Roman"/>
                <w:vertAlign w:val="subscript"/>
              </w:rPr>
              <w:t>2</w:t>
            </w:r>
            <w:r w:rsidRPr="00267C17">
              <w:rPr>
                <w:rFonts w:ascii="Times New Roman" w:hAnsi="Times New Roman" w:cs="Times New Roman"/>
              </w:rPr>
              <w:t xml:space="preserve"> (</w:t>
            </w:r>
            <w:proofErr w:type="gramStart"/>
            <w:r w:rsidRPr="00267C17">
              <w:rPr>
                <w:rFonts w:ascii="Times New Roman" w:hAnsi="Times New Roman" w:cs="Times New Roman"/>
              </w:rPr>
              <w:t xml:space="preserve">%)   </w:t>
            </w:r>
            <w:proofErr w:type="gramEnd"/>
            <w:r w:rsidRPr="00267C17">
              <w:rPr>
                <w:rFonts w:ascii="Times New Roman" w:hAnsi="Times New Roman" w:cs="Times New Roman"/>
              </w:rPr>
              <w:t xml:space="preserve">            </w:t>
            </w:r>
          </w:p>
        </w:tc>
        <w:tc>
          <w:tcPr>
            <w:tcW w:w="671" w:type="dxa"/>
          </w:tcPr>
          <w:p w14:paraId="6DCCBD6F" w14:textId="00BF7FFB" w:rsidR="0086092E" w:rsidRDefault="0086092E" w:rsidP="00B90D13">
            <w:pPr>
              <w:pStyle w:val="BodyText"/>
              <w:spacing w:line="360" w:lineRule="auto"/>
              <w:jc w:val="both"/>
            </w:pPr>
            <w:r>
              <w:t>(</w:t>
            </w:r>
            <w:r>
              <w:fldChar w:fldCharType="begin"/>
            </w:r>
            <w:r>
              <w:instrText xml:space="preserve"> seq eq </w:instrText>
            </w:r>
            <w:r>
              <w:fldChar w:fldCharType="separate"/>
            </w:r>
            <w:r w:rsidR="00A27D86">
              <w:rPr>
                <w:noProof/>
              </w:rPr>
              <w:t>10</w:t>
            </w:r>
            <w:r>
              <w:fldChar w:fldCharType="end"/>
            </w:r>
            <w:r>
              <w:t>)</w:t>
            </w:r>
          </w:p>
        </w:tc>
      </w:tr>
    </w:tbl>
    <w:p w14:paraId="2F4FC839" w14:textId="77777777" w:rsidR="00B90D13" w:rsidRPr="00C25F98" w:rsidRDefault="00B90D13" w:rsidP="00B90D13">
      <w:pPr>
        <w:pStyle w:val="BodyText"/>
        <w:spacing w:line="360" w:lineRule="auto"/>
        <w:jc w:val="both"/>
      </w:pPr>
      <w:r w:rsidRPr="00267C17">
        <w:t xml:space="preserve">where </w:t>
      </w:r>
      <w:r>
        <w:rPr>
          <w:i/>
        </w:rPr>
        <w:t>Z</w:t>
      </w:r>
      <w:r w:rsidRPr="00267C17">
        <w:t xml:space="preserve"> and </w:t>
      </w:r>
      <w:r w:rsidRPr="00FC7690">
        <w:rPr>
          <w:i/>
        </w:rPr>
        <w:t>Y</w:t>
      </w:r>
      <w:r w:rsidRPr="00267C17">
        <w:t xml:space="preserve"> are the mass fractions of </w:t>
      </w:r>
      <w:proofErr w:type="spellStart"/>
      <w:r w:rsidRPr="00267C17">
        <w:t>CaO</w:t>
      </w:r>
      <w:proofErr w:type="spellEnd"/>
      <w:r w:rsidRPr="00267C17">
        <w:t xml:space="preserve"> and MgO in the feed, respectively. Based on the feed composition and the corresponding correction for native carbonate content, the </w:t>
      </w:r>
      <w:r w:rsidRPr="00267C17">
        <w:lastRenderedPageBreak/>
        <w:t xml:space="preserve">theoretical CO₂ uptake of the wollastonite used in this study was calculated to be </w:t>
      </w:r>
      <w:r w:rsidRPr="001A34E0">
        <w:t>32.3 % (</w:t>
      </w:r>
      <w:r w:rsidRPr="001A34E0">
        <w:rPr>
          <w:i/>
        </w:rPr>
        <w:t>m</w:t>
      </w:r>
      <w:r w:rsidRPr="001A34E0">
        <w:t>/</w:t>
      </w:r>
      <w:r w:rsidRPr="001A34E0">
        <w:rPr>
          <w:i/>
        </w:rPr>
        <w:t>m</w:t>
      </w:r>
      <w:r w:rsidRPr="001A34E0">
        <w:t>)</w:t>
      </w:r>
      <w:r w:rsidRPr="00C25F98">
        <w:t>.</w:t>
      </w:r>
    </w:p>
    <w:p w14:paraId="22C0EF07" w14:textId="4C4876E8" w:rsidR="00B90D13" w:rsidRDefault="00B90D13" w:rsidP="000C78A0">
      <w:pPr>
        <w:pStyle w:val="BodyText"/>
        <w:spacing w:line="360" w:lineRule="auto"/>
        <w:jc w:val="both"/>
      </w:pPr>
      <w:r w:rsidRPr="00267C17">
        <w:t>The experimental CO₂ uptake was determined by thermogravimetric analysis from the carbonate-related mass loss in the temperature range of 500°C</w:t>
      </w:r>
      <w:r>
        <w:t> </w:t>
      </w:r>
      <w:r>
        <w:noBreakHyphen/>
        <w:t> </w:t>
      </w:r>
      <w:r w:rsidRPr="00267C17">
        <w:t>900°C, corresponding mainly to CO₂ release from carbonate decomposition. To exclude the contribution of pre-existing carbonates in the raw material, the normalized CO₂ uptake was calculated as the difference between the carbonated sample and the feed</w:t>
      </w:r>
      <w:r>
        <w:t xml:space="preserve"> </w:t>
      </w:r>
      <w:r w:rsidRPr="00267C17">
        <w:rPr>
          <w:rFonts w:ascii="Times New Roman" w:eastAsia="Times New Roman" w:hAnsi="Times New Roman" w:cs="Times New Roman"/>
        </w:rPr>
        <w:t>(this method was used and described before in</w:t>
      </w:r>
      <w:r>
        <w:rPr>
          <w:rFonts w:ascii="Times New Roman" w:eastAsia="Times New Roman" w:hAnsi="Times New Roman" w:cs="Times New Roman"/>
        </w:rPr>
        <w:t xml:space="preserve"> </w:t>
      </w:r>
      <w:r w:rsidRPr="00267C17">
        <w:rPr>
          <w:rFonts w:ascii="Times New Roman" w:eastAsia="Times New Roman" w:hAnsi="Times New Roman" w:cs="Times New Roman"/>
        </w:rPr>
        <w:fldChar w:fldCharType="begin"/>
      </w:r>
      <w:r w:rsidR="000C78A0">
        <w:rPr>
          <w:rFonts w:ascii="Times New Roman" w:eastAsia="Times New Roman" w:hAnsi="Times New Roman" w:cs="Times New Roman"/>
        </w:rPr>
        <w:instrText xml:space="preserve"> ADDIN ZOTERO_ITEM CSL_CITATION {"citationID":"XeDE3scM","properties":{"unsorted":false,"formattedCitation":"[31,40]","plainCitation":"[31,40]","noteIndex":0},"citationItems":[{"id":382,"uris":["http://zotero.org/users/local/CPEr2PVS/items/BBAXW9MK"],"itemData":{"id":382,"type":"article","abstract":"Calcium silicate  minerals, including wollastonite, are considered promising feedstocks for mineral carbonation, particularly for applications in low-carbon building and construction materials; however, the mechanisms governing their behavior under near-ambient wet conditions are not yet fully understood. This study examines the mechanistic influence of specific operational parameters on wollastonite wet carbonation under additive-free, near-ambient conditions. Two representative carbonated samples, exhibiting low (approximately 6 %) and high (approximately 50 %) carbonation efficiencies, were selected from a systematic screening for detailed analysis. These samples exemplify contrasting regimes of gas-liquid and solid-liquid mass transfer, primarily influenced by CO₂ flow rate and agitation speed. An integrated characterization strategy, incorporating XRF, TGA, XRD, BET, Pycnometry, and SEM-EDX, along with time-resolved kinetic model fitting, was employed. Phase and microstructural analyses reveal limited carbonate formation and sparse, discontinuous precipitates under mass-transfer-limited conditions, whereas extensive calcite precipitation and coalescing intergranular carbonate domains develop when mass transfer is enhanced. Variations in specific surface area, skeletal density, and thermal decomposition behavior correspond to progressive carbonate maturation during the reaction. Kinetic analysis of independent batch experiments at varying carbonation times indicates that both the Avrami model and the surface-reaction-controlled shrinking-core model accurately describe the reaction from the initial stages and remain applicable throughout the process. At extended reaction times, the diffusion-controlled shrinking-core model fits the data, reflecting the increasing significance of diffusional resistance as a carbonate-silica product layer forms.These findings establish a mechanistic link between operating conditions and reaction pathways during near-ambient wet wollastonite carbonation.","DOI":"10.2139/ssrn.6672664","publisher":"SSRN","source":"DOI.org (Crossref)","title":"Regimes in Wet Wollastonite Carbonation: A Comparative Kinetics and Multi-Technique Investigation​","title-short":"Regimes in Wet Wollastonite Carbonation","URL":"https://www.ssrn.com/abstract=6672664","author":[{"family":"Homaee","given":"Sahra"},{"family":"Moeckel","given":"Robert"},{"family":"Ebert","given":"Doreen"},{"family":"Rudolph","given":"Martin"}],"accessed":{"date-parts":[["2026",5,9]]},"issued":{"date-parts":[["2026"]]}}},{"id":339,"uris":["http://zotero.org/users/local/CPEr2PVS/items/M74955EF"],"itemData":{"id":339,"type":"article-journal","container-title":"Industrial &amp; Engineering Chemistry Research","DOI":"10.1021/acs.iecr.5c02835","ISSN":"0888-5885, 1520-5045","issue":"45","journalAbbreviation":"Ind. Eng. Chem. Res.","language":"en","license":"https://creativecommons.org/licenses/by/4.0/","page":"21412-21425","source":"DOI.org (Crossref)","title":"Wet Carbonation of Industrial Recycled Concrete Fines: Experimental Study and Reaction Kinetic Modeling","title-short":"Wet Carbonation of Industrial Recycled Concrete Fines","volume":"64","author":[{"family":"Tabrizi","given":"Z."},{"family":"Rodriguez","given":"C."},{"family":"Barbera","given":"E."},{"family":"Leal Da Silva","given":"W. R."},{"family":"Bezzo","given":"F."}],"issued":{"date-parts":[["2025",11,12]]}}}],"schema":"https://github.com/citation-style-language/schema/raw/master/csl-citation.json"} </w:instrText>
      </w:r>
      <w:r w:rsidRPr="00267C17">
        <w:rPr>
          <w:rFonts w:ascii="Times New Roman" w:eastAsia="Times New Roman" w:hAnsi="Times New Roman" w:cs="Times New Roman"/>
        </w:rPr>
        <w:fldChar w:fldCharType="separate"/>
      </w:r>
      <w:r w:rsidR="000C78A0" w:rsidRPr="000C78A0">
        <w:t>[31,40]</w:t>
      </w:r>
      <w:r w:rsidRPr="00267C17">
        <w:rPr>
          <w:rFonts w:ascii="Times New Roman" w:eastAsia="Times New Roman" w:hAnsi="Times New Roman" w:cs="Times New Roman"/>
        </w:rPr>
        <w:fldChar w:fldCharType="end"/>
      </w:r>
      <w:r w:rsidRPr="00267C17">
        <w:rPr>
          <w:rFonts w:ascii="Times New Roman" w:eastAsia="Times New Roman" w:hAnsi="Times New Roman" w:cs="Times New Roman"/>
        </w:rPr>
        <w:t>)</w:t>
      </w:r>
      <w:r w:rsidRPr="00267C17">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0"/>
        <w:gridCol w:w="666"/>
      </w:tblGrid>
      <w:tr w:rsidR="0086092E" w14:paraId="20EE9C4A" w14:textId="77777777" w:rsidTr="0086092E">
        <w:tc>
          <w:tcPr>
            <w:tcW w:w="8815" w:type="dxa"/>
          </w:tcPr>
          <w:p w14:paraId="204B37D9" w14:textId="59887F75" w:rsidR="0086092E" w:rsidRPr="0086092E" w:rsidRDefault="0086092E" w:rsidP="0086092E">
            <w:pPr>
              <w:spacing w:after="120" w:line="360" w:lineRule="auto"/>
              <w:jc w:val="both"/>
              <w:rPr>
                <w:rFonts w:ascii="Times New Roman" w:eastAsia="Times New Roman" w:hAnsi="Times New Roman" w:cs="Times New Roman"/>
              </w:rPr>
            </w:pPr>
            <w:r w:rsidRPr="00267C17">
              <w:rPr>
                <w:rFonts w:ascii="Times New Roman" w:hAnsi="Times New Roman" w:cs="Times New Roman"/>
              </w:rPr>
              <w:t>CO</w:t>
            </w:r>
            <w:r w:rsidRPr="00267C17">
              <w:rPr>
                <w:rFonts w:ascii="Times New Roman" w:hAnsi="Times New Roman" w:cs="Times New Roman"/>
                <w:vertAlign w:val="subscript"/>
              </w:rPr>
              <w:t>2</w:t>
            </w:r>
            <w:r w:rsidRPr="00267C17">
              <w:rPr>
                <w:rFonts w:ascii="Times New Roman" w:hAnsi="Times New Roman" w:cs="Times New Roman"/>
              </w:rPr>
              <w:t xml:space="preserve"> Uptake % </w:t>
            </w:r>
            <w:r w:rsidRPr="00267C17">
              <w:rPr>
                <w:rFonts w:ascii="Times New Roman" w:eastAsia="Times New Roman" w:hAnsi="Times New Roman" w:cs="Times New Roman"/>
              </w:rPr>
              <w:t>= (</w:t>
            </w:r>
            <m:oMath>
              <m:f>
                <m:fPr>
                  <m:ctrlPr>
                    <w:rPr>
                      <w:rFonts w:ascii="Cambria Math" w:eastAsia="Times New Roman" w:hAnsi="Cambria Math" w:cs="Times New Roman"/>
                    </w:rPr>
                  </m:ctrlPr>
                </m:fPr>
                <m:num>
                  <m:r>
                    <m:rPr>
                      <m:sty m:val="p"/>
                    </m:rPr>
                    <w:rPr>
                      <w:rFonts w:ascii="Cambria Math" w:eastAsia="Times New Roman" w:hAnsi="Cambria Math" w:cs="Times New Roman"/>
                    </w:rPr>
                    <m:t>∆</m:t>
                  </m:r>
                  <m:sSub>
                    <m:sSubPr>
                      <m:ctrlPr>
                        <w:rPr>
                          <w:rFonts w:ascii="Cambria Math" w:eastAsia="Times New Roman" w:hAnsi="Cambria Math" w:cs="Times New Roman"/>
                        </w:rPr>
                      </m:ctrlPr>
                    </m:sSubPr>
                    <m:e>
                      <m:r>
                        <w:rPr>
                          <w:rFonts w:ascii="Cambria Math" w:eastAsia="Times New Roman" w:hAnsi="Cambria Math" w:cs="Times New Roman"/>
                        </w:rPr>
                        <m:t>m</m:t>
                      </m:r>
                    </m:e>
                    <m:sub>
                      <m:r>
                        <w:rPr>
                          <w:rFonts w:ascii="Cambria Math" w:eastAsia="Times New Roman" w:hAnsi="Cambria Math" w:cs="Times New Roman"/>
                        </w:rPr>
                        <m:t>Carb</m:t>
                      </m:r>
                      <m:r>
                        <m:rPr>
                          <m:sty m:val="p"/>
                        </m:rPr>
                        <w:rPr>
                          <w:rFonts w:ascii="Cambria Math" w:eastAsia="Times New Roman" w:hAnsi="Cambria Math" w:cs="Times New Roman"/>
                        </w:rPr>
                        <m:t>,500-900</m:t>
                      </m:r>
                    </m:sub>
                  </m:sSub>
                  <m:r>
                    <m:rPr>
                      <m:sty m:val="p"/>
                    </m:rPr>
                    <w:rPr>
                      <w:rFonts w:ascii="Cambria Math" w:eastAsia="Times New Roman" w:hAnsi="Cambria Math" w:cs="Times New Roman"/>
                    </w:rPr>
                    <m:t xml:space="preserve"> </m:t>
                  </m:r>
                </m:num>
                <m:den>
                  <m:r>
                    <m:rPr>
                      <m:sty m:val="p"/>
                    </m:rPr>
                    <w:rPr>
                      <w:rFonts w:ascii="Cambria Math" w:eastAsia="Times New Roman" w:hAnsi="Cambria Math" w:cs="Times New Roman"/>
                    </w:rPr>
                    <m:t>100-∆</m:t>
                  </m:r>
                  <m:sSub>
                    <m:sSubPr>
                      <m:ctrlPr>
                        <w:rPr>
                          <w:rFonts w:ascii="Cambria Math" w:eastAsia="Times New Roman" w:hAnsi="Cambria Math" w:cs="Times New Roman"/>
                        </w:rPr>
                      </m:ctrlPr>
                    </m:sSubPr>
                    <m:e>
                      <m:r>
                        <w:rPr>
                          <w:rFonts w:ascii="Cambria Math" w:eastAsia="Times New Roman" w:hAnsi="Cambria Math" w:cs="Times New Roman"/>
                        </w:rPr>
                        <m:t>m</m:t>
                      </m:r>
                    </m:e>
                    <m:sub>
                      <m:r>
                        <w:rPr>
                          <w:rFonts w:ascii="Cambria Math" w:eastAsia="Times New Roman" w:hAnsi="Cambria Math" w:cs="Times New Roman"/>
                        </w:rPr>
                        <m:t>Carb</m:t>
                      </m:r>
                      <m:r>
                        <m:rPr>
                          <m:sty m:val="p"/>
                        </m:rPr>
                        <w:rPr>
                          <w:rFonts w:ascii="Cambria Math" w:eastAsia="Times New Roman" w:hAnsi="Cambria Math" w:cs="Times New Roman"/>
                        </w:rPr>
                        <m:t>,30-1000</m:t>
                      </m:r>
                    </m:sub>
                  </m:sSub>
                </m:den>
              </m:f>
              <m:r>
                <m:rPr>
                  <m:sty m:val="p"/>
                </m:rPr>
                <w:rPr>
                  <w:rFonts w:ascii="Cambria Math" w:eastAsia="Times New Roman" w:hAnsi="Cambria Math" w:cs="Times New Roman"/>
                </w:rPr>
                <m:t>-</m:t>
              </m:r>
              <m:f>
                <m:fPr>
                  <m:ctrlPr>
                    <w:rPr>
                      <w:rFonts w:ascii="Cambria Math" w:eastAsia="Times New Roman" w:hAnsi="Cambria Math" w:cs="Times New Roman"/>
                    </w:rPr>
                  </m:ctrlPr>
                </m:fPr>
                <m:num>
                  <m:r>
                    <m:rPr>
                      <m:sty m:val="p"/>
                    </m:rPr>
                    <w:rPr>
                      <w:rFonts w:ascii="Cambria Math" w:eastAsia="Times New Roman" w:hAnsi="Cambria Math" w:cs="Times New Roman"/>
                    </w:rPr>
                    <m:t>∆</m:t>
                  </m:r>
                  <m:sSub>
                    <m:sSubPr>
                      <m:ctrlPr>
                        <w:rPr>
                          <w:rFonts w:ascii="Cambria Math" w:eastAsia="Times New Roman" w:hAnsi="Cambria Math" w:cs="Times New Roman"/>
                        </w:rPr>
                      </m:ctrlPr>
                    </m:sSubPr>
                    <m:e>
                      <m:r>
                        <w:rPr>
                          <w:rFonts w:ascii="Cambria Math" w:eastAsia="Times New Roman" w:hAnsi="Cambria Math" w:cs="Times New Roman"/>
                        </w:rPr>
                        <m:t>m</m:t>
                      </m:r>
                    </m:e>
                    <m:sub>
                      <m:r>
                        <w:rPr>
                          <w:rFonts w:ascii="Cambria Math" w:eastAsia="Times New Roman" w:hAnsi="Cambria Math" w:cs="Times New Roman"/>
                        </w:rPr>
                        <m:t>Feed</m:t>
                      </m:r>
                      <m:r>
                        <m:rPr>
                          <m:sty m:val="p"/>
                        </m:rPr>
                        <w:rPr>
                          <w:rFonts w:ascii="Cambria Math" w:eastAsia="Times New Roman" w:hAnsi="Cambria Math" w:cs="Times New Roman"/>
                        </w:rPr>
                        <m:t>,500-900</m:t>
                      </m:r>
                    </m:sub>
                  </m:sSub>
                </m:num>
                <m:den>
                  <m:r>
                    <m:rPr>
                      <m:sty m:val="p"/>
                    </m:rPr>
                    <w:rPr>
                      <w:rFonts w:ascii="Cambria Math" w:eastAsia="Times New Roman" w:hAnsi="Cambria Math" w:cs="Times New Roman"/>
                    </w:rPr>
                    <m:t>100-∆</m:t>
                  </m:r>
                  <m:sSub>
                    <m:sSubPr>
                      <m:ctrlPr>
                        <w:rPr>
                          <w:rFonts w:ascii="Cambria Math" w:eastAsia="Times New Roman" w:hAnsi="Cambria Math" w:cs="Times New Roman"/>
                        </w:rPr>
                      </m:ctrlPr>
                    </m:sSubPr>
                    <m:e>
                      <m:r>
                        <w:rPr>
                          <w:rFonts w:ascii="Cambria Math" w:eastAsia="Times New Roman" w:hAnsi="Cambria Math" w:cs="Times New Roman"/>
                        </w:rPr>
                        <m:t>m</m:t>
                      </m:r>
                    </m:e>
                    <m:sub>
                      <m:r>
                        <w:rPr>
                          <w:rFonts w:ascii="Cambria Math" w:eastAsia="Times New Roman" w:hAnsi="Cambria Math" w:cs="Times New Roman"/>
                        </w:rPr>
                        <m:t>Feed</m:t>
                      </m:r>
                      <m:r>
                        <m:rPr>
                          <m:sty m:val="p"/>
                        </m:rPr>
                        <w:rPr>
                          <w:rFonts w:ascii="Cambria Math" w:eastAsia="Times New Roman" w:hAnsi="Cambria Math" w:cs="Times New Roman"/>
                        </w:rPr>
                        <m:t>,30-1000</m:t>
                      </m:r>
                    </m:sub>
                  </m:sSub>
                </m:den>
              </m:f>
              <m:r>
                <m:rPr>
                  <m:sty m:val="p"/>
                </m:rPr>
                <w:rPr>
                  <w:rFonts w:ascii="Cambria Math" w:eastAsia="Times New Roman" w:hAnsi="Cambria Math" w:cs="Times New Roman"/>
                </w:rPr>
                <m:t>)×</m:t>
              </m:r>
              <m:f>
                <m:fPr>
                  <m:ctrlPr>
                    <w:rPr>
                      <w:rFonts w:ascii="Cambria Math" w:eastAsia="Times New Roman" w:hAnsi="Cambria Math" w:cs="Times New Roman"/>
                    </w:rPr>
                  </m:ctrlPr>
                </m:fPr>
                <m:num>
                  <m:r>
                    <m:rPr>
                      <m:sty m:val="p"/>
                    </m:rPr>
                    <w:rPr>
                      <w:rFonts w:ascii="Cambria Math" w:eastAsia="Times New Roman" w:hAnsi="Cambria Math" w:cs="Times New Roman"/>
                    </w:rPr>
                    <m:t>100-∆</m:t>
                  </m:r>
                  <m:sSub>
                    <m:sSubPr>
                      <m:ctrlPr>
                        <w:rPr>
                          <w:rFonts w:ascii="Cambria Math" w:eastAsia="Times New Roman" w:hAnsi="Cambria Math" w:cs="Times New Roman"/>
                        </w:rPr>
                      </m:ctrlPr>
                    </m:sSubPr>
                    <m:e>
                      <m:r>
                        <w:rPr>
                          <w:rFonts w:ascii="Cambria Math" w:eastAsia="Times New Roman" w:hAnsi="Cambria Math" w:cs="Times New Roman"/>
                        </w:rPr>
                        <m:t>m</m:t>
                      </m:r>
                    </m:e>
                    <m:sub>
                      <m:r>
                        <w:rPr>
                          <w:rFonts w:ascii="Cambria Math" w:eastAsia="Times New Roman" w:hAnsi="Cambria Math" w:cs="Times New Roman"/>
                        </w:rPr>
                        <m:t>Feed</m:t>
                      </m:r>
                      <m:r>
                        <m:rPr>
                          <m:sty m:val="p"/>
                        </m:rPr>
                        <w:rPr>
                          <w:rFonts w:ascii="Cambria Math" w:eastAsia="Times New Roman" w:hAnsi="Cambria Math" w:cs="Times New Roman"/>
                        </w:rPr>
                        <m:t>,30-1000</m:t>
                      </m:r>
                    </m:sub>
                  </m:sSub>
                </m:num>
                <m:den>
                  <m:r>
                    <m:rPr>
                      <m:sty m:val="p"/>
                    </m:rPr>
                    <w:rPr>
                      <w:rFonts w:ascii="Cambria Math" w:eastAsia="Times New Roman" w:hAnsi="Cambria Math" w:cs="Times New Roman"/>
                    </w:rPr>
                    <m:t>100</m:t>
                  </m:r>
                </m:den>
              </m:f>
            </m:oMath>
            <w:r w:rsidRPr="00267C17">
              <w:rPr>
                <w:rFonts w:ascii="Times New Roman" w:eastAsia="Times New Roman" w:hAnsi="Times New Roman" w:cs="Times New Roman"/>
              </w:rPr>
              <w:t xml:space="preserve">                 </w:t>
            </w:r>
          </w:p>
        </w:tc>
        <w:tc>
          <w:tcPr>
            <w:tcW w:w="581" w:type="dxa"/>
          </w:tcPr>
          <w:p w14:paraId="00AA50E9" w14:textId="29B90B1C" w:rsidR="0086092E" w:rsidRDefault="0086092E" w:rsidP="00B90D13">
            <w:pPr>
              <w:pStyle w:val="BodyText"/>
              <w:spacing w:line="360" w:lineRule="auto"/>
              <w:jc w:val="both"/>
            </w:pPr>
            <w:r>
              <w:t>(</w:t>
            </w:r>
            <w:r>
              <w:fldChar w:fldCharType="begin"/>
            </w:r>
            <w:r>
              <w:instrText xml:space="preserve"> seq eq </w:instrText>
            </w:r>
            <w:r>
              <w:fldChar w:fldCharType="separate"/>
            </w:r>
            <w:r w:rsidR="00A27D86">
              <w:rPr>
                <w:noProof/>
              </w:rPr>
              <w:t>11</w:t>
            </w:r>
            <w:r>
              <w:fldChar w:fldCharType="end"/>
            </w:r>
            <w:r>
              <w:t>)</w:t>
            </w:r>
          </w:p>
        </w:tc>
      </w:tr>
      <w:tr w:rsidR="0086092E" w14:paraId="5B328635" w14:textId="77777777" w:rsidTr="0086092E">
        <w:tc>
          <w:tcPr>
            <w:tcW w:w="8815" w:type="dxa"/>
          </w:tcPr>
          <w:p w14:paraId="7CEE8BB6" w14:textId="77330E6D" w:rsidR="0086092E" w:rsidRPr="0086092E" w:rsidRDefault="0086092E" w:rsidP="0086092E">
            <w:pPr>
              <w:spacing w:after="120" w:line="360" w:lineRule="auto"/>
              <w:jc w:val="both"/>
              <w:rPr>
                <w:rFonts w:ascii="Times New Roman" w:eastAsia="Times New Roman" w:hAnsi="Times New Roman" w:cs="Times New Roman"/>
              </w:rPr>
            </w:pPr>
            <m:oMath>
              <m:r>
                <m:rPr>
                  <m:nor/>
                </m:rPr>
                <w:rPr>
                  <w:rFonts w:ascii="Cambria Math" w:hAnsi="Cambria Math"/>
                </w:rPr>
                <m:t>∆</m:t>
              </m:r>
              <m:sSub>
                <m:sSubPr>
                  <m:ctrlPr>
                    <w:rPr>
                      <w:rFonts w:ascii="Cambria Math" w:hAnsi="Cambria Math"/>
                      <w:i/>
                    </w:rPr>
                  </m:ctrlPr>
                </m:sSubPr>
                <m:e>
                  <m:r>
                    <m:rPr>
                      <m:nor/>
                    </m:rPr>
                    <w:rPr>
                      <w:rFonts w:ascii="Cambria Math" w:hAnsi="Cambria Math"/>
                    </w:rPr>
                    <m:t>m</m:t>
                  </m:r>
                </m:e>
                <m:sub>
                  <m:r>
                    <m:rPr>
                      <m:nor/>
                    </m:rPr>
                    <w:rPr>
                      <w:rFonts w:ascii="Cambria Math" w:hAnsi="Cambria Math"/>
                    </w:rPr>
                    <m:t>s,500-900</m:t>
                  </m:r>
                </m:sub>
              </m:sSub>
              <m:r>
                <m:rPr>
                  <m:nor/>
                </m:rPr>
                <w:rPr>
                  <w:rFonts w:ascii="Cambria Math" w:eastAsia="Times New Roman" w:hAnsi="Cambria Math" w:cs="Times New Roman"/>
                </w:rPr>
                <m:t>=</m:t>
              </m:r>
              <m:sSub>
                <m:sSubPr>
                  <m:ctrlPr>
                    <w:rPr>
                      <w:rFonts w:ascii="Cambria Math" w:eastAsia="Times New Roman" w:hAnsi="Cambria Math" w:cs="Times New Roman"/>
                      <w:i/>
                    </w:rPr>
                  </m:ctrlPr>
                </m:sSubPr>
                <m:e>
                  <m:r>
                    <m:rPr>
                      <m:nor/>
                    </m:rPr>
                    <w:rPr>
                      <w:rFonts w:ascii="Cambria Math" w:eastAsia="Times New Roman" w:hAnsi="Cambria Math" w:cs="Times New Roman"/>
                    </w:rPr>
                    <m:t>m</m:t>
                  </m:r>
                </m:e>
                <m:sub>
                  <m:r>
                    <m:rPr>
                      <m:nor/>
                    </m:rPr>
                    <w:rPr>
                      <w:rFonts w:ascii="Cambria Math" w:eastAsia="Times New Roman" w:hAnsi="Cambria Math" w:cs="Times New Roman"/>
                    </w:rPr>
                    <m:t>s,500 °C</m:t>
                  </m:r>
                </m:sub>
              </m:sSub>
              <m:r>
                <w:rPr>
                  <w:rFonts w:ascii="Cambria Math" w:eastAsia="Times New Roman" w:hAnsi="Cambria Math" w:cs="Times New Roman"/>
                </w:rPr>
                <m:t xml:space="preserve"> </m:t>
              </m:r>
              <m:r>
                <m:rPr>
                  <m:nor/>
                </m:rPr>
                <w:rPr>
                  <w:rFonts w:ascii="Cambria Math" w:eastAsia="Times New Roman" w:hAnsi="Cambria Math" w:cs="Times New Roman"/>
                </w:rPr>
                <m:t xml:space="preserve">- </m:t>
              </m:r>
              <m:sSub>
                <m:sSubPr>
                  <m:ctrlPr>
                    <w:rPr>
                      <w:rFonts w:ascii="Cambria Math" w:eastAsia="Times New Roman" w:hAnsi="Cambria Math" w:cs="Times New Roman"/>
                      <w:i/>
                    </w:rPr>
                  </m:ctrlPr>
                </m:sSubPr>
                <m:e>
                  <m:r>
                    <m:rPr>
                      <m:nor/>
                    </m:rPr>
                    <w:rPr>
                      <w:rFonts w:ascii="Cambria Math" w:eastAsia="Times New Roman" w:hAnsi="Cambria Math" w:cs="Times New Roman"/>
                    </w:rPr>
                    <m:t>m</m:t>
                  </m:r>
                </m:e>
                <m:sub>
                  <m:r>
                    <m:rPr>
                      <m:nor/>
                    </m:rPr>
                    <w:rPr>
                      <w:rFonts w:ascii="Cambria Math" w:eastAsia="Times New Roman" w:hAnsi="Cambria Math" w:cs="Times New Roman"/>
                    </w:rPr>
                    <m:t>s,900 °C</m:t>
                  </m:r>
                </m:sub>
              </m:sSub>
            </m:oMath>
            <w:r w:rsidRPr="00267C17">
              <w:rPr>
                <w:rFonts w:ascii="Times New Roman" w:eastAsia="Times New Roman" w:hAnsi="Times New Roman" w:cs="Times New Roman"/>
              </w:rPr>
              <w:t xml:space="preserve">                                                                                      </w:t>
            </w:r>
          </w:p>
        </w:tc>
        <w:tc>
          <w:tcPr>
            <w:tcW w:w="581" w:type="dxa"/>
          </w:tcPr>
          <w:p w14:paraId="6672BFBC" w14:textId="07142174" w:rsidR="0086092E" w:rsidRDefault="0086092E" w:rsidP="00B90D13">
            <w:pPr>
              <w:pStyle w:val="BodyText"/>
              <w:spacing w:line="360" w:lineRule="auto"/>
              <w:jc w:val="both"/>
            </w:pPr>
            <w:r>
              <w:t>(</w:t>
            </w:r>
            <w:r>
              <w:fldChar w:fldCharType="begin"/>
            </w:r>
            <w:r>
              <w:instrText xml:space="preserve"> seq eq </w:instrText>
            </w:r>
            <w:r>
              <w:fldChar w:fldCharType="separate"/>
            </w:r>
            <w:r w:rsidR="00A27D86">
              <w:rPr>
                <w:noProof/>
              </w:rPr>
              <w:t>12</w:t>
            </w:r>
            <w:r>
              <w:fldChar w:fldCharType="end"/>
            </w:r>
            <w:r>
              <w:t>)</w:t>
            </w:r>
          </w:p>
        </w:tc>
      </w:tr>
      <w:tr w:rsidR="0086092E" w14:paraId="4BCF2FF5" w14:textId="77777777" w:rsidTr="0086092E">
        <w:tc>
          <w:tcPr>
            <w:tcW w:w="8815" w:type="dxa"/>
          </w:tcPr>
          <w:p w14:paraId="3C538335" w14:textId="37D39807" w:rsidR="0086092E" w:rsidRDefault="0086092E" w:rsidP="00B90D13">
            <w:pPr>
              <w:pStyle w:val="BodyText"/>
              <w:spacing w:line="360" w:lineRule="auto"/>
              <w:jc w:val="both"/>
            </w:pPr>
            <m:oMathPara>
              <m:oMath>
                <m:r>
                  <m:rPr>
                    <m:nor/>
                  </m:rPr>
                  <w:rPr>
                    <w:rFonts w:ascii="Cambria Math" w:eastAsia="Times New Roman" w:hAnsi="Cambria Math" w:cs="Times New Roman"/>
                  </w:rPr>
                  <m:t>∆</m:t>
                </m:r>
                <m:sSub>
                  <m:sSubPr>
                    <m:ctrlPr>
                      <w:rPr>
                        <w:rFonts w:ascii="Cambria Math" w:eastAsia="Times New Roman" w:hAnsi="Cambria Math" w:cs="Times New Roman"/>
                        <w:i/>
                      </w:rPr>
                    </m:ctrlPr>
                  </m:sSubPr>
                  <m:e>
                    <m:r>
                      <m:rPr>
                        <m:nor/>
                      </m:rPr>
                      <w:rPr>
                        <w:rFonts w:ascii="Cambria Math" w:eastAsia="Times New Roman" w:hAnsi="Cambria Math" w:cs="Times New Roman"/>
                      </w:rPr>
                      <m:t>m</m:t>
                    </m:r>
                  </m:e>
                  <m:sub>
                    <m:r>
                      <m:rPr>
                        <m:nor/>
                      </m:rPr>
                      <w:rPr>
                        <w:rFonts w:ascii="Cambria Math" w:eastAsia="Times New Roman" w:hAnsi="Cambria Math" w:cs="Times New Roman"/>
                      </w:rPr>
                      <m:t>s,30-1000</m:t>
                    </m:r>
                  </m:sub>
                </m:sSub>
                <m:r>
                  <m:rPr>
                    <m:nor/>
                  </m:rPr>
                  <w:rPr>
                    <w:rFonts w:ascii="Cambria Math" w:eastAsia="Times New Roman" w:hAnsi="Cambria Math" w:cs="Times New Roman"/>
                  </w:rPr>
                  <m:t>=</m:t>
                </m:r>
                <m:sSub>
                  <m:sSubPr>
                    <m:ctrlPr>
                      <w:rPr>
                        <w:rFonts w:ascii="Cambria Math" w:eastAsia="Times New Roman" w:hAnsi="Cambria Math" w:cs="Times New Roman"/>
                        <w:i/>
                      </w:rPr>
                    </m:ctrlPr>
                  </m:sSubPr>
                  <m:e>
                    <m:r>
                      <m:rPr>
                        <m:nor/>
                      </m:rPr>
                      <w:rPr>
                        <w:rFonts w:ascii="Cambria Math" w:eastAsia="Times New Roman" w:hAnsi="Cambria Math" w:cs="Times New Roman"/>
                      </w:rPr>
                      <m:t>m</m:t>
                    </m:r>
                  </m:e>
                  <m:sub>
                    <m:r>
                      <m:rPr>
                        <m:nor/>
                      </m:rPr>
                      <w:rPr>
                        <w:rFonts w:ascii="Cambria Math" w:eastAsia="Times New Roman" w:hAnsi="Cambria Math" w:cs="Times New Roman"/>
                      </w:rPr>
                      <m:t xml:space="preserve">s,30 °C </m:t>
                    </m:r>
                  </m:sub>
                </m:sSub>
                <m:r>
                  <m:rPr>
                    <m:nor/>
                  </m:rPr>
                  <w:rPr>
                    <w:rFonts w:ascii="Cambria Math" w:eastAsia="Times New Roman" w:hAnsi="Cambria Math" w:cs="Times New Roman"/>
                  </w:rPr>
                  <m:t>-</m:t>
                </m:r>
                <m:sSub>
                  <m:sSubPr>
                    <m:ctrlPr>
                      <w:rPr>
                        <w:rFonts w:ascii="Cambria Math" w:eastAsia="Times New Roman" w:hAnsi="Cambria Math" w:cs="Times New Roman"/>
                        <w:i/>
                      </w:rPr>
                    </m:ctrlPr>
                  </m:sSubPr>
                  <m:e>
                    <m:r>
                      <m:rPr>
                        <m:nor/>
                      </m:rPr>
                      <w:rPr>
                        <w:rFonts w:ascii="Cambria Math" w:eastAsia="Times New Roman" w:hAnsi="Cambria Math" w:cs="Times New Roman"/>
                      </w:rPr>
                      <m:t xml:space="preserve"> m</m:t>
                    </m:r>
                  </m:e>
                  <m:sub>
                    <m:r>
                      <m:rPr>
                        <m:nor/>
                      </m:rPr>
                      <w:rPr>
                        <w:rFonts w:ascii="Cambria Math" w:eastAsia="Times New Roman" w:hAnsi="Cambria Math" w:cs="Times New Roman"/>
                      </w:rPr>
                      <m:t>s,1000 °C</m:t>
                    </m:r>
                  </m:sub>
                </m:sSub>
              </m:oMath>
            </m:oMathPara>
          </w:p>
        </w:tc>
        <w:tc>
          <w:tcPr>
            <w:tcW w:w="581" w:type="dxa"/>
          </w:tcPr>
          <w:p w14:paraId="6ADD6DEE" w14:textId="77AB59F0" w:rsidR="0086092E" w:rsidRDefault="0086092E" w:rsidP="00B90D13">
            <w:pPr>
              <w:pStyle w:val="BodyText"/>
              <w:spacing w:line="360" w:lineRule="auto"/>
              <w:jc w:val="both"/>
            </w:pPr>
            <w:r>
              <w:t>(</w:t>
            </w:r>
            <w:r>
              <w:fldChar w:fldCharType="begin"/>
            </w:r>
            <w:r>
              <w:instrText xml:space="preserve"> seq eq </w:instrText>
            </w:r>
            <w:r>
              <w:fldChar w:fldCharType="separate"/>
            </w:r>
            <w:r w:rsidR="00A27D86">
              <w:rPr>
                <w:noProof/>
              </w:rPr>
              <w:t>13</w:t>
            </w:r>
            <w:r>
              <w:fldChar w:fldCharType="end"/>
            </w:r>
            <w:r>
              <w:t>)</w:t>
            </w:r>
          </w:p>
        </w:tc>
      </w:tr>
    </w:tbl>
    <w:p w14:paraId="6FF0699C" w14:textId="40ECF4B0" w:rsidR="00B90D13" w:rsidRPr="00267C17" w:rsidRDefault="00B90D13" w:rsidP="00B90D13">
      <w:pPr>
        <w:pStyle w:val="BodyText"/>
        <w:spacing w:line="360" w:lineRule="auto"/>
        <w:jc w:val="both"/>
        <w:rPr>
          <w:rFonts w:ascii="Times New Roman" w:eastAsia="Times New Roman" w:hAnsi="Times New Roman" w:cs="Times New Roman"/>
        </w:rPr>
      </w:pPr>
      <w:r w:rsidRPr="00267C17">
        <w:rPr>
          <w:rFonts w:ascii="Times New Roman" w:eastAsia="Times New Roman" w:hAnsi="Times New Roman" w:cs="Times New Roman"/>
        </w:rPr>
        <w:t xml:space="preserve">where </w:t>
      </w:r>
      <m:oMath>
        <m:r>
          <m:rPr>
            <m:sty m:val="p"/>
          </m:rPr>
          <w:rPr>
            <w:rFonts w:ascii="Cambria Math" w:eastAsia="Times New Roman" w:hAnsi="Cambria Math" w:cs="Times New Roman"/>
          </w:rPr>
          <m:t>∆</m:t>
        </m:r>
        <m:sSub>
          <m:sSubPr>
            <m:ctrlPr>
              <w:rPr>
                <w:rFonts w:ascii="Cambria Math" w:eastAsia="Times New Roman" w:hAnsi="Cambria Math" w:cs="Times New Roman"/>
              </w:rPr>
            </m:ctrlPr>
          </m:sSubPr>
          <m:e>
            <m:r>
              <w:rPr>
                <w:rFonts w:ascii="Cambria Math" w:eastAsia="Times New Roman" w:hAnsi="Cambria Math" w:cs="Times New Roman"/>
              </w:rPr>
              <m:t>m</m:t>
            </m:r>
          </m:e>
          <m:sub>
            <m:r>
              <w:rPr>
                <w:rFonts w:ascii="Cambria Math" w:eastAsia="Times New Roman" w:hAnsi="Cambria Math" w:cs="Times New Roman"/>
              </w:rPr>
              <m:t>s</m:t>
            </m:r>
            <m:r>
              <m:rPr>
                <m:sty m:val="p"/>
              </m:rPr>
              <w:rPr>
                <w:rFonts w:ascii="Cambria Math" w:eastAsia="Times New Roman" w:hAnsi="Cambria Math" w:cs="Times New Roman"/>
              </w:rPr>
              <m:t>,500-900</m:t>
            </m:r>
          </m:sub>
        </m:sSub>
      </m:oMath>
      <w:r w:rsidRPr="00267C17">
        <w:rPr>
          <w:rFonts w:ascii="Times New Roman" w:eastAsia="Times New Roman" w:hAnsi="Times New Roman" w:cs="Times New Roman"/>
        </w:rPr>
        <w:t xml:space="preserve"> </w:t>
      </w:r>
      <w:r>
        <w:rPr>
          <w:rFonts w:ascii="Times New Roman" w:eastAsia="Times New Roman" w:hAnsi="Times New Roman" w:cs="Times New Roman"/>
        </w:rPr>
        <w:t xml:space="preserve">(s </w:t>
      </w:r>
      <w:r w:rsidRPr="00C638E5">
        <w:rPr>
          <w:rFonts w:ascii="Times New Roman" w:eastAsia="Times New Roman" w:hAnsi="Times New Roman" w:cs="Times New Roman"/>
        </w:rPr>
        <w:t>denotes the sample state</w:t>
      </w:r>
      <w:r>
        <w:rPr>
          <w:rFonts w:ascii="Times New Roman" w:eastAsia="Times New Roman" w:hAnsi="Times New Roman" w:cs="Times New Roman"/>
        </w:rPr>
        <w:t xml:space="preserve">) </w:t>
      </w:r>
      <w:r w:rsidRPr="00267C17">
        <w:rPr>
          <w:rFonts w:ascii="Times New Roman" w:eastAsia="Times New Roman" w:hAnsi="Times New Roman" w:cs="Times New Roman"/>
        </w:rPr>
        <w:t xml:space="preserve">represents the mass loss associated with carbonate decomposition and </w:t>
      </w:r>
      <m:oMath>
        <m:r>
          <m:rPr>
            <m:sty m:val="p"/>
          </m:rPr>
          <w:rPr>
            <w:rFonts w:ascii="Cambria Math" w:eastAsia="Times New Roman" w:hAnsi="Cambria Math" w:cs="Times New Roman"/>
          </w:rPr>
          <m:t>∆</m:t>
        </m:r>
        <m:sSub>
          <m:sSubPr>
            <m:ctrlPr>
              <w:rPr>
                <w:rFonts w:ascii="Cambria Math" w:eastAsia="Times New Roman" w:hAnsi="Cambria Math" w:cs="Times New Roman"/>
              </w:rPr>
            </m:ctrlPr>
          </m:sSubPr>
          <m:e>
            <m:r>
              <w:rPr>
                <w:rFonts w:ascii="Cambria Math" w:eastAsia="Times New Roman" w:hAnsi="Cambria Math" w:cs="Times New Roman"/>
              </w:rPr>
              <m:t>m</m:t>
            </m:r>
          </m:e>
          <m:sub>
            <m:r>
              <w:rPr>
                <w:rFonts w:ascii="Cambria Math" w:eastAsia="Times New Roman" w:hAnsi="Cambria Math" w:cs="Times New Roman"/>
              </w:rPr>
              <m:t>s</m:t>
            </m:r>
            <m:r>
              <m:rPr>
                <m:sty m:val="p"/>
              </m:rPr>
              <w:rPr>
                <w:rFonts w:ascii="Cambria Math" w:eastAsia="Times New Roman" w:hAnsi="Cambria Math" w:cs="Times New Roman"/>
              </w:rPr>
              <m:t>,30-1000</m:t>
            </m:r>
          </m:sub>
        </m:sSub>
      </m:oMath>
      <w:r w:rsidRPr="00267C17">
        <w:rPr>
          <w:rFonts w:ascii="Times New Roman" w:eastAsia="Times New Roman" w:hAnsi="Times New Roman" w:cs="Times New Roman"/>
        </w:rPr>
        <w:t xml:space="preserve"> is the total normalized mass loss used for correction.</w:t>
      </w:r>
    </w:p>
    <w:p w14:paraId="06B388D6" w14:textId="34EC6572" w:rsidR="008C5D84" w:rsidRPr="00EC6B11" w:rsidRDefault="00EC6B11" w:rsidP="00EC6B11">
      <w:pPr>
        <w:pStyle w:val="Heading1"/>
        <w:spacing w:line="360" w:lineRule="auto"/>
        <w:rPr>
          <w:rFonts w:ascii="Times New Roman" w:hAnsi="Times New Roman"/>
          <w:color w:val="auto"/>
          <w:sz w:val="24"/>
          <w:szCs w:val="24"/>
        </w:rPr>
      </w:pPr>
      <w:r w:rsidRPr="00253079">
        <w:rPr>
          <w:rFonts w:ascii="Times New Roman" w:hAnsi="Times New Roman"/>
          <w:color w:val="auto"/>
          <w:sz w:val="24"/>
          <w:szCs w:val="24"/>
        </w:rPr>
        <w:t>Acknowledgements</w:t>
      </w:r>
    </w:p>
    <w:p w14:paraId="45040476" w14:textId="517EF55E" w:rsidR="00EC6B11" w:rsidRPr="008C5D84" w:rsidRDefault="00EC6B11" w:rsidP="00EC6B11">
      <w:pPr>
        <w:pStyle w:val="BodyText"/>
        <w:spacing w:line="360" w:lineRule="auto"/>
        <w:jc w:val="both"/>
      </w:pPr>
      <w:r w:rsidRPr="00711E0A">
        <w:t xml:space="preserve">This work is part of the </w:t>
      </w:r>
      <w:proofErr w:type="spellStart"/>
      <w:r w:rsidRPr="00711E0A">
        <w:t>CO₂Valorize</w:t>
      </w:r>
      <w:proofErr w:type="spellEnd"/>
      <w:r w:rsidRPr="00711E0A">
        <w:t xml:space="preserve"> project, which has received funding from the European Union’s Horizon Europe research and innovation </w:t>
      </w:r>
      <w:r w:rsidR="0069253F">
        <w:t>program</w:t>
      </w:r>
      <w:r w:rsidR="0069253F" w:rsidRPr="00711E0A">
        <w:t xml:space="preserve"> </w:t>
      </w:r>
      <w:r w:rsidRPr="00711E0A">
        <w:t xml:space="preserve">under the Marie </w:t>
      </w:r>
      <w:proofErr w:type="spellStart"/>
      <w:r w:rsidRPr="00711E0A">
        <w:t>Skłodowska</w:t>
      </w:r>
      <w:proofErr w:type="spellEnd"/>
      <w:r w:rsidRPr="00711E0A">
        <w:t>-Curie Grant Agreement No. 101073547. The authors would like to thank Dr. Bradley Martin Guy</w:t>
      </w:r>
      <w:r>
        <w:rPr>
          <w:b/>
          <w:bCs/>
        </w:rPr>
        <w:t xml:space="preserve"> </w:t>
      </w:r>
      <w:r w:rsidRPr="00945A9B">
        <w:t>and</w:t>
      </w:r>
      <w:r>
        <w:rPr>
          <w:b/>
          <w:bCs/>
        </w:rPr>
        <w:t xml:space="preserve"> </w:t>
      </w:r>
      <w:r w:rsidRPr="00945A9B">
        <w:t xml:space="preserve">Ava </w:t>
      </w:r>
      <w:proofErr w:type="spellStart"/>
      <w:r w:rsidRPr="00945A9B">
        <w:t>Holowenko</w:t>
      </w:r>
      <w:proofErr w:type="spellEnd"/>
      <w:r w:rsidRPr="00711E0A">
        <w:t xml:space="preserve"> for assistance with SEM-EDX measurements</w:t>
      </w:r>
      <w:r>
        <w:rPr>
          <w:b/>
          <w:bCs/>
        </w:rPr>
        <w:t xml:space="preserve"> </w:t>
      </w:r>
      <w:r w:rsidRPr="00711E0A">
        <w:t xml:space="preserve">at HZDR, Helmholtz Institute Freiberg for Resource Technology (HIF); and Erik </w:t>
      </w:r>
      <w:proofErr w:type="spellStart"/>
      <w:r w:rsidRPr="00711E0A">
        <w:t>Löwer</w:t>
      </w:r>
      <w:proofErr w:type="spellEnd"/>
      <w:r w:rsidRPr="00711E0A">
        <w:t xml:space="preserve"> from Freiberg University of Mining and Technology for assistance with BET analyses.</w:t>
      </w:r>
    </w:p>
    <w:p w14:paraId="52C15A7C" w14:textId="50FD58C4" w:rsidR="00065E10" w:rsidRPr="00267C17" w:rsidRDefault="007939EF" w:rsidP="007939EF">
      <w:pPr>
        <w:pStyle w:val="Heading1"/>
        <w:rPr>
          <w:color w:val="auto"/>
        </w:rPr>
      </w:pPr>
      <w:r w:rsidRPr="00267C17">
        <w:rPr>
          <w:color w:val="auto"/>
        </w:rPr>
        <w:t>References</w:t>
      </w:r>
    </w:p>
    <w:p w14:paraId="19AA3485" w14:textId="77777777" w:rsidR="000C78A0" w:rsidRPr="000C78A0" w:rsidRDefault="00C00886" w:rsidP="000C78A0">
      <w:pPr>
        <w:pStyle w:val="Bibliography"/>
      </w:pPr>
      <w:r w:rsidRPr="00267C17">
        <w:fldChar w:fldCharType="begin"/>
      </w:r>
      <w:r w:rsidR="006E4667">
        <w:instrText xml:space="preserve"> ADDIN ZOTERO_BIBL {"uncited":[],"omitted":[],"custom":[]} CSL_BIBLIOGRAPHY </w:instrText>
      </w:r>
      <w:r w:rsidRPr="00267C17">
        <w:fldChar w:fldCharType="separate"/>
      </w:r>
      <w:r w:rsidR="000C78A0" w:rsidRPr="000C78A0">
        <w:t>[1]</w:t>
      </w:r>
      <w:r w:rsidR="000C78A0" w:rsidRPr="000C78A0">
        <w:tab/>
        <w:t xml:space="preserve">A. Sanna, M. Uibu, G. Caramanna, R. Kuusik, M.M. Maroto-Valer, A review of mineral carbonation technologies to sequester CO </w:t>
      </w:r>
      <w:r w:rsidR="000C78A0" w:rsidRPr="000C78A0">
        <w:rPr>
          <w:vertAlign w:val="subscript"/>
        </w:rPr>
        <w:t>2</w:t>
      </w:r>
      <w:r w:rsidR="000C78A0" w:rsidRPr="000C78A0">
        <w:t>, Chem. Soc. Rev. 43 (2014) 8049–8080. https://doi.org/10.1039/C4CS00035H.</w:t>
      </w:r>
    </w:p>
    <w:p w14:paraId="31AD8498" w14:textId="77777777" w:rsidR="000C78A0" w:rsidRPr="000C78A0" w:rsidRDefault="000C78A0" w:rsidP="000C78A0">
      <w:pPr>
        <w:pStyle w:val="Bibliography"/>
      </w:pPr>
      <w:r w:rsidRPr="000C78A0">
        <w:t>[2]</w:t>
      </w:r>
      <w:r w:rsidRPr="000C78A0">
        <w:tab/>
        <w:t xml:space="preserve">S.J. Davis, N.S. Lewis, M. Shaner, S. Aggarwal, D. Arent, I.L. Azevedo, S.M. Benson, T. Bradley, J. Brouwer, Y.-M. Chiang, C.T.M. Clack, A. Cohen, S. Doig, J. Edmonds, P. Fennell, </w:t>
      </w:r>
      <w:r w:rsidRPr="000C78A0">
        <w:lastRenderedPageBreak/>
        <w:t>C.B. Field, B. Hannegan, B.-M. Hodge, M.I. Hoffert, E. Ingersoll, P. Jaramillo, K.S. Lackner, K.J. Mach, M. Mastrandrea, J. Ogden, P.F. Peterson, D.L. Sanchez, D. Sperling, J. Stagner, J.E. Trancik, C.-J. Yang, K. Caldeira, Net-zero emissions energy systems, Science 360 (2018) eaas9793. https://doi.org/10.1126/science.aas9793.</w:t>
      </w:r>
    </w:p>
    <w:p w14:paraId="68C4907C" w14:textId="77777777" w:rsidR="000C78A0" w:rsidRPr="000C78A0" w:rsidRDefault="000C78A0" w:rsidP="000C78A0">
      <w:pPr>
        <w:pStyle w:val="Bibliography"/>
      </w:pPr>
      <w:r w:rsidRPr="000C78A0">
        <w:t>[3]</w:t>
      </w:r>
      <w:r w:rsidRPr="000C78A0">
        <w:tab/>
        <w:t>A. Ismailov, N. Merilaita, E. Levänen, Accelerated Carbonation of High-Calcite Wollastonite Tailings, Minerals 14 (2024) 415. https://doi.org/10.3390/min14040415.</w:t>
      </w:r>
    </w:p>
    <w:p w14:paraId="57E7DA02" w14:textId="77777777" w:rsidR="000C78A0" w:rsidRPr="000C78A0" w:rsidRDefault="000C78A0" w:rsidP="000C78A0">
      <w:pPr>
        <w:pStyle w:val="Bibliography"/>
      </w:pPr>
      <w:r w:rsidRPr="000C78A0">
        <w:t>[4]</w:t>
      </w:r>
      <w:r w:rsidRPr="000C78A0">
        <w:tab/>
        <w:t>S.-Y. Pan, T.-C. Chung, C.-C. Ho, C.-J. Hou, Y.-H. Chen, P.-C. Chiang, CO2 Mineralization and Utilization using Steel Slag for Establishing a Waste-to-Resource Supply Chain, Sci Rep 7 (2017) 17227. https://doi.org/10.1038/s41598-017-17648-9.</w:t>
      </w:r>
    </w:p>
    <w:p w14:paraId="74A36D51" w14:textId="77777777" w:rsidR="000C78A0" w:rsidRPr="000C78A0" w:rsidRDefault="000C78A0" w:rsidP="000C78A0">
      <w:pPr>
        <w:pStyle w:val="Bibliography"/>
      </w:pPr>
      <w:r w:rsidRPr="000C78A0">
        <w:t>[5]</w:t>
      </w:r>
      <w:r w:rsidRPr="000C78A0">
        <w:tab/>
        <w:t>F. Wang, D. Dreisinger, M. Jarvis, T. Hitchins, Kinetics and mechanism of mineral carbonation of olivine for CO2 sequestration, Minerals Engineering 131 (2019) 185–197. https://doi.org/10.1016/j.mineng.2018.11.024.</w:t>
      </w:r>
    </w:p>
    <w:p w14:paraId="3CA5C086" w14:textId="77777777" w:rsidR="000C78A0" w:rsidRPr="000C78A0" w:rsidRDefault="000C78A0" w:rsidP="000C78A0">
      <w:pPr>
        <w:pStyle w:val="Bibliography"/>
      </w:pPr>
      <w:r w:rsidRPr="000C78A0">
        <w:t>[6]</w:t>
      </w:r>
      <w:r w:rsidRPr="000C78A0">
        <w:tab/>
        <w:t xml:space="preserve">H. Ostovari, L. Müller, J. Skocek, A. Bardow, From Unavoidable CO </w:t>
      </w:r>
      <w:r w:rsidRPr="000C78A0">
        <w:rPr>
          <w:vertAlign w:val="subscript"/>
        </w:rPr>
        <w:t>2</w:t>
      </w:r>
      <w:r w:rsidRPr="000C78A0">
        <w:t xml:space="preserve"> Source to CO </w:t>
      </w:r>
      <w:r w:rsidRPr="000C78A0">
        <w:rPr>
          <w:vertAlign w:val="subscript"/>
        </w:rPr>
        <w:t>2</w:t>
      </w:r>
      <w:r w:rsidRPr="000C78A0">
        <w:t xml:space="preserve"> Sink? A Cement Industry Based on CO </w:t>
      </w:r>
      <w:r w:rsidRPr="000C78A0">
        <w:rPr>
          <w:vertAlign w:val="subscript"/>
        </w:rPr>
        <w:t>2</w:t>
      </w:r>
      <w:r w:rsidRPr="000C78A0">
        <w:t xml:space="preserve"> Mineralization, Environ. Sci. Technol. 55 (2021) 5212–5223. https://doi.org/10.1021/acs.est.0c07599.</w:t>
      </w:r>
    </w:p>
    <w:p w14:paraId="3DD7B783" w14:textId="77777777" w:rsidR="000C78A0" w:rsidRPr="000C78A0" w:rsidRDefault="000C78A0" w:rsidP="000C78A0">
      <w:pPr>
        <w:pStyle w:val="Bibliography"/>
      </w:pPr>
      <w:r w:rsidRPr="000C78A0">
        <w:t>[7]</w:t>
      </w:r>
      <w:r w:rsidRPr="000C78A0">
        <w:tab/>
        <w:t>A. Bărbulescu, K. Hosen, Cement Industry Pollution and Its Impact on the Environment and Population Health: A Review, Toxics 13 (2025) 587. https://doi.org/10.3390/toxics13070587.</w:t>
      </w:r>
    </w:p>
    <w:p w14:paraId="17A7E679" w14:textId="77777777" w:rsidR="000C78A0" w:rsidRPr="000C78A0" w:rsidRDefault="000C78A0" w:rsidP="000C78A0">
      <w:pPr>
        <w:pStyle w:val="Bibliography"/>
      </w:pPr>
      <w:r w:rsidRPr="000C78A0">
        <w:t>[8]</w:t>
      </w:r>
      <w:r w:rsidRPr="000C78A0">
        <w:tab/>
        <w:t>M. Hanifa, R. Agarwal, U. Sharma, P.C. Thapliyal, L.P. Singh, A review on CO2 capture and sequestration in the construction industry: Emerging approaches and commercialised technologies, Journal of CO2 Utilization 67 (2023) 102292. https://doi.org/10.1016/j.jcou.2022.102292.</w:t>
      </w:r>
    </w:p>
    <w:p w14:paraId="1F41672E" w14:textId="77777777" w:rsidR="000C78A0" w:rsidRPr="000C78A0" w:rsidRDefault="000C78A0" w:rsidP="000C78A0">
      <w:pPr>
        <w:pStyle w:val="Bibliography"/>
      </w:pPr>
      <w:r w:rsidRPr="000C78A0">
        <w:t>[9]</w:t>
      </w:r>
      <w:r w:rsidRPr="000C78A0">
        <w:tab/>
        <w:t>S. Srivastava, M. Cerutti, H. Nguyen, V. Carvelli, P. Kinnunen, M. Illikainen, Carbonated steel slags as supplementary cementitious materials: Reaction kinetics and phase evolution, Cement and Concrete Composites 142 (2023) 105213. https://doi.org/10.1016/j.cemconcomp.2023.105213.</w:t>
      </w:r>
    </w:p>
    <w:p w14:paraId="2B202488" w14:textId="77777777" w:rsidR="000C78A0" w:rsidRPr="000C78A0" w:rsidRDefault="000C78A0" w:rsidP="000C78A0">
      <w:pPr>
        <w:pStyle w:val="Bibliography"/>
      </w:pPr>
      <w:r w:rsidRPr="000C78A0">
        <w:t>[10]</w:t>
      </w:r>
      <w:r w:rsidRPr="000C78A0">
        <w:tab/>
        <w:t>S.J. Gerdemann, W.K. O’Connor, D.C. Dahlin, L.R. Penner, H. Rush, Ex Situ Aqueous Mineral Carbonation, Environ. Sci. Technol. 41 (2007) 2587–2593. https://doi.org/10.1021/es0619253.</w:t>
      </w:r>
    </w:p>
    <w:p w14:paraId="0B264090" w14:textId="77777777" w:rsidR="000C78A0" w:rsidRPr="000C78A0" w:rsidRDefault="000C78A0" w:rsidP="000C78A0">
      <w:pPr>
        <w:pStyle w:val="Bibliography"/>
      </w:pPr>
      <w:r w:rsidRPr="000C78A0">
        <w:t>[11]</w:t>
      </w:r>
      <w:r w:rsidRPr="000C78A0">
        <w:tab/>
        <w:t>S. Stokreef, F. Sadri, A. Stokreef, A. Ghahreman, Mineral carbonation of ultramafic tailings: A review of reaction mechanisms and kinetics, industry case studies, and modelling, Cleaner Engineering and Technology 8 (2022) 100491. https://doi.org/10.1016/j.clet.2022.100491.</w:t>
      </w:r>
    </w:p>
    <w:p w14:paraId="55878EE8" w14:textId="77777777" w:rsidR="000C78A0" w:rsidRPr="000C78A0" w:rsidRDefault="000C78A0" w:rsidP="000C78A0">
      <w:pPr>
        <w:pStyle w:val="Bibliography"/>
      </w:pPr>
      <w:r w:rsidRPr="000C78A0">
        <w:t>[12]</w:t>
      </w:r>
      <w:r w:rsidRPr="000C78A0">
        <w:tab/>
        <w:t>W. Oconnor, D.C. Dahlin, G.E. Rush, S.J. Gerdemann, L.R. Penner, D.N. Nilsen, Aqueous Mineral Carbonation: Mineral Availability, Pretreatment, Reaction Parametrics, and Process Studies, (2005). https://doi.org/10.13140/RG.2.2.23658.31684.</w:t>
      </w:r>
    </w:p>
    <w:p w14:paraId="4C8235C5" w14:textId="77777777" w:rsidR="000C78A0" w:rsidRPr="000C78A0" w:rsidRDefault="000C78A0" w:rsidP="000C78A0">
      <w:pPr>
        <w:pStyle w:val="Bibliography"/>
      </w:pPr>
      <w:r w:rsidRPr="000C78A0">
        <w:t>[13]</w:t>
      </w:r>
      <w:r w:rsidRPr="000C78A0">
        <w:tab/>
        <w:t>D. Daval, I. Martinez, J. Corvisier, N. Findling, B. Goffé, F. Guyot, Carbonation of Ca-bearing silicates, the case of wollastonite: Experimental investigations and kinetic modeling, Chemical Geology 265 (2009) 63–78. https://doi.org/10.1016/j.chemgeo.2009.01.022.</w:t>
      </w:r>
    </w:p>
    <w:p w14:paraId="3A559817" w14:textId="77777777" w:rsidR="000C78A0" w:rsidRPr="000C78A0" w:rsidRDefault="000C78A0" w:rsidP="000C78A0">
      <w:pPr>
        <w:pStyle w:val="Bibliography"/>
      </w:pPr>
      <w:r w:rsidRPr="000C78A0">
        <w:t>[14]</w:t>
      </w:r>
      <w:r w:rsidRPr="000C78A0">
        <w:tab/>
        <w:t>F. Di Lorenzo, C. Ruiz-Agudo, A. Ibañez-Velasco, R. Gil-San Millán, J. Navarro, E. Ruiz-Agudo, C. Rodriguez-Navarro, The Carbonation of Wollastonite: A Model Reaction to Test Natural and Biomimetic Catalysts for Enhanced CO2 Sequestration, Minerals 8 (2018) 209. https://doi.org/10.3390/min8050209.</w:t>
      </w:r>
    </w:p>
    <w:p w14:paraId="00B875D0" w14:textId="77777777" w:rsidR="000C78A0" w:rsidRPr="000C78A0" w:rsidRDefault="000C78A0" w:rsidP="000C78A0">
      <w:pPr>
        <w:pStyle w:val="Bibliography"/>
      </w:pPr>
      <w:r w:rsidRPr="000C78A0">
        <w:t>[15]</w:t>
      </w:r>
      <w:r w:rsidRPr="000C78A0">
        <w:tab/>
        <w:t>W.J.J. Huijgen, G.-J. Witkamp, R.N.J. Comans, Mechanisms of aqueous wollastonite carbonation as a possible CO2 sequestration process, Chemical Engineering Science 61 (2006) 4242–4251. https://doi.org/10.1016/j.ces.2006.01.048.</w:t>
      </w:r>
    </w:p>
    <w:p w14:paraId="3F8C5CAB" w14:textId="77777777" w:rsidR="000C78A0" w:rsidRPr="000C78A0" w:rsidRDefault="000C78A0" w:rsidP="000C78A0">
      <w:pPr>
        <w:pStyle w:val="Bibliography"/>
      </w:pPr>
      <w:r w:rsidRPr="000C78A0">
        <w:lastRenderedPageBreak/>
        <w:t>[16]</w:t>
      </w:r>
      <w:r w:rsidRPr="000C78A0">
        <w:tab/>
        <w:t>D.A. Plattenberger, F.T. Ling, Z. Tao, C.A. Peters, A.F. Clarens, Calcium Silicate Crystal Structure Impacts Reactivity with CO</w:t>
      </w:r>
      <w:r w:rsidRPr="000C78A0">
        <w:rPr>
          <w:vertAlign w:val="subscript"/>
        </w:rPr>
        <w:t>2</w:t>
      </w:r>
      <w:r w:rsidRPr="000C78A0">
        <w:t xml:space="preserve"> and Precipitate Chemistry, Environ. Sci. Technol. Lett. 5 (2018) 558–563. https://doi.org/10.1021/acs.estlett.8b00386.</w:t>
      </w:r>
    </w:p>
    <w:p w14:paraId="06CBD721" w14:textId="77777777" w:rsidR="000C78A0" w:rsidRPr="000C78A0" w:rsidRDefault="000C78A0" w:rsidP="000C78A0">
      <w:pPr>
        <w:pStyle w:val="Bibliography"/>
      </w:pPr>
      <w:r w:rsidRPr="000C78A0">
        <w:t>[17]</w:t>
      </w:r>
      <w:r w:rsidRPr="000C78A0">
        <w:tab/>
        <w:t>H. Sandhu, S. Garg, S. Yadav, Modeling kinetics of wollastonite dissolution and carbonate precipitation in multi-ionic brine systems, Chemical Engineering Research and Design 227 (2026) 54–76. https://doi.org/10.1016/j.cherd.2026.01.040.</w:t>
      </w:r>
    </w:p>
    <w:p w14:paraId="5508C51C" w14:textId="77777777" w:rsidR="000C78A0" w:rsidRPr="000C78A0" w:rsidRDefault="000C78A0" w:rsidP="000C78A0">
      <w:pPr>
        <w:pStyle w:val="Bibliography"/>
      </w:pPr>
      <w:r w:rsidRPr="000C78A0">
        <w:t>[18]</w:t>
      </w:r>
      <w:r w:rsidRPr="000C78A0">
        <w:tab/>
        <w:t>K. Svensson, A. Neumann, F. Feitosa Menezes, C. Lempp, H. Pöllmann, Carbonation of Natural Wollastonite at Non-Ambient Conditions Relevant for CCS—the Possible Use as Cementitious Material in Wellbores, Applied Sciences 9 (2019) 1259. https://doi.org/10.3390/app9061259.</w:t>
      </w:r>
    </w:p>
    <w:p w14:paraId="4C7E9EE2" w14:textId="77777777" w:rsidR="000C78A0" w:rsidRPr="000C78A0" w:rsidRDefault="000C78A0" w:rsidP="000C78A0">
      <w:pPr>
        <w:pStyle w:val="Bibliography"/>
      </w:pPr>
      <w:r w:rsidRPr="000C78A0">
        <w:t>[19]</w:t>
      </w:r>
      <w:r w:rsidRPr="000C78A0">
        <w:tab/>
        <w:t>M.Z. Kashim, H. Tsegab, O. Rahmani, Z.A. Abu Bakar, S.M. Aminpour, Reaction Mechanism of Wollastonite In Situ Mineral Carbonation for CO</w:t>
      </w:r>
      <w:r w:rsidRPr="000C78A0">
        <w:rPr>
          <w:vertAlign w:val="subscript"/>
        </w:rPr>
        <w:t>2</w:t>
      </w:r>
      <w:r w:rsidRPr="000C78A0">
        <w:t xml:space="preserve"> Sequestration: Effects of Saline Conditions, Temperature, and Pressure, ACS Omega 5 (2020) 28942–28954. https://doi.org/10.1021/acsomega.0c02358.</w:t>
      </w:r>
    </w:p>
    <w:p w14:paraId="30A22A88" w14:textId="77777777" w:rsidR="000C78A0" w:rsidRPr="000C78A0" w:rsidRDefault="000C78A0" w:rsidP="000C78A0">
      <w:pPr>
        <w:pStyle w:val="Bibliography"/>
      </w:pPr>
      <w:r w:rsidRPr="000C78A0">
        <w:t>[20]</w:t>
      </w:r>
      <w:r w:rsidRPr="000C78A0">
        <w:tab/>
        <w:t>C.Y. Tai, W. ‐R. Chen, S. Shih, Factors affecting wollastonite carbonation under CO</w:t>
      </w:r>
      <w:r w:rsidRPr="000C78A0">
        <w:rPr>
          <w:vertAlign w:val="subscript"/>
        </w:rPr>
        <w:t>2</w:t>
      </w:r>
      <w:r w:rsidRPr="000C78A0">
        <w:t xml:space="preserve"> supercritical conditions, AIChE Journal 52 (2006) 292–299. https://doi.org/10.1002/aic.10572.</w:t>
      </w:r>
    </w:p>
    <w:p w14:paraId="5846627F" w14:textId="77777777" w:rsidR="000C78A0" w:rsidRPr="000C78A0" w:rsidRDefault="000C78A0" w:rsidP="000C78A0">
      <w:pPr>
        <w:pStyle w:val="Bibliography"/>
      </w:pPr>
      <w:r w:rsidRPr="000C78A0">
        <w:t>[21]</w:t>
      </w:r>
      <w:r w:rsidRPr="000C78A0">
        <w:tab/>
        <w:t>Y. Min, Q. Li, M. Voltolini, T. Kneafsey, Y.-S. Jun, Wollastonite Carbonation in Water-Bearing Supercritical CO</w:t>
      </w:r>
      <w:r w:rsidRPr="000C78A0">
        <w:rPr>
          <w:vertAlign w:val="subscript"/>
        </w:rPr>
        <w:t>2</w:t>
      </w:r>
      <w:r w:rsidRPr="000C78A0">
        <w:t> : Effects of Particle Size, Environ. Sci. Technol. 51 (2017) 13044–13053. https://doi.org/10.1021/acs.est.7b04475.</w:t>
      </w:r>
    </w:p>
    <w:p w14:paraId="1F3D79BB" w14:textId="77777777" w:rsidR="000C78A0" w:rsidRPr="000C78A0" w:rsidRDefault="000C78A0" w:rsidP="000C78A0">
      <w:pPr>
        <w:pStyle w:val="Bibliography"/>
      </w:pPr>
      <w:r w:rsidRPr="000C78A0">
        <w:t>[22]</w:t>
      </w:r>
      <w:r w:rsidRPr="000C78A0">
        <w:tab/>
        <w:t>H. Zhai, Q. Chen, M. Yilmaz, B. Wang, Enhancing Aqueous Carbonation of Calcium Silicate through Acid and Base Pretreatments with Implications for Efficient Carbon Mineralization, Environ. Sci. Technol. 57 (2023) 13808–13817. https://doi.org/10.1021/acs.est.3c03942.</w:t>
      </w:r>
    </w:p>
    <w:p w14:paraId="1473BB60" w14:textId="77777777" w:rsidR="000C78A0" w:rsidRPr="000C78A0" w:rsidRDefault="000C78A0" w:rsidP="000C78A0">
      <w:pPr>
        <w:pStyle w:val="Bibliography"/>
      </w:pPr>
      <w:r w:rsidRPr="000C78A0">
        <w:t>[23]</w:t>
      </w:r>
      <w:r w:rsidRPr="000C78A0">
        <w:tab/>
        <w:t>E. N. Yeremin, The Foundations Of Chemical Kinetics Mir, Mir Publishers, 1979. http://archive.org/details/e.-n.-yeremin-the-foundations-of-chemical-kinetics-mir-1979 (accessed January 19, 2026).</w:t>
      </w:r>
    </w:p>
    <w:p w14:paraId="36E80D72" w14:textId="77777777" w:rsidR="000C78A0" w:rsidRPr="000C78A0" w:rsidRDefault="000C78A0" w:rsidP="000C78A0">
      <w:pPr>
        <w:pStyle w:val="Bibliography"/>
      </w:pPr>
      <w:r w:rsidRPr="000C78A0">
        <w:t>[24]</w:t>
      </w:r>
      <w:r w:rsidRPr="000C78A0">
        <w:tab/>
        <w:t>A.K. Jena, M.C. Chaturvedi, Phase Transformation in Materials, Prentice Hall, 1992.</w:t>
      </w:r>
    </w:p>
    <w:p w14:paraId="7F589165" w14:textId="77777777" w:rsidR="000C78A0" w:rsidRPr="000C78A0" w:rsidRDefault="000C78A0" w:rsidP="000C78A0">
      <w:pPr>
        <w:pStyle w:val="Bibliography"/>
      </w:pPr>
      <w:r w:rsidRPr="000C78A0">
        <w:t>[25]</w:t>
      </w:r>
      <w:r w:rsidRPr="000C78A0">
        <w:tab/>
        <w:t>M. Tu, H. Zhao, Z. Lei, L. Wang, D. Chen, H. Yu, T. Qi, Aqueous Carbonation of Steel Slag: A Kinetics Study, ISIJ International 55 (2015) 2509–2514. https://doi.org/10.2355/isijinternational.ISIJINT-2015-142.</w:t>
      </w:r>
    </w:p>
    <w:p w14:paraId="03CEDEBC" w14:textId="77777777" w:rsidR="000C78A0" w:rsidRPr="000C78A0" w:rsidRDefault="000C78A0" w:rsidP="000C78A0">
      <w:pPr>
        <w:pStyle w:val="Bibliography"/>
      </w:pPr>
      <w:r w:rsidRPr="000C78A0">
        <w:t>[26]</w:t>
      </w:r>
      <w:r w:rsidRPr="000C78A0">
        <w:tab/>
        <w:t>U. Germgård, The Arrhenius Equation is Still a Useful Tool in Chemical Engineering, Nordic Pulp &amp; Paper Research Journal 32 (2017) 21–24. https://doi.org/10.3183/npprj-2017-32-01-p021-024.</w:t>
      </w:r>
    </w:p>
    <w:p w14:paraId="32437C55" w14:textId="77777777" w:rsidR="000C78A0" w:rsidRPr="000C78A0" w:rsidRDefault="000C78A0" w:rsidP="000C78A0">
      <w:pPr>
        <w:pStyle w:val="Bibliography"/>
      </w:pPr>
      <w:r w:rsidRPr="000C78A0">
        <w:t>[27]</w:t>
      </w:r>
      <w:r w:rsidRPr="000C78A0">
        <w:tab/>
        <w:t>S. Vyazovkin, Activation Energies and Temperature Dependencies of the Rates of Crystallization and Melting of Polymers, Polymers 12 (2020) 1070. https://doi.org/10.3390/polym12051070.</w:t>
      </w:r>
    </w:p>
    <w:p w14:paraId="62059EE5" w14:textId="77777777" w:rsidR="000C78A0" w:rsidRPr="000C78A0" w:rsidRDefault="000C78A0" w:rsidP="000C78A0">
      <w:pPr>
        <w:pStyle w:val="Bibliography"/>
      </w:pPr>
      <w:r w:rsidRPr="000C78A0">
        <w:t>[28]</w:t>
      </w:r>
      <w:r w:rsidRPr="000C78A0">
        <w:tab/>
        <w:t>E. Miao, Y. Du, H. Wang, Z. Xiong, Y. Zhao, J. Zhang, Experimental study and kinetics on CO2 mineral sequestration by the direct aqueous carbonation of pepper stalk ash, Fuel 303 (2021) 121230. https://doi.org/10.1016/j.fuel.2021.121230.</w:t>
      </w:r>
    </w:p>
    <w:p w14:paraId="0CADA51D" w14:textId="77777777" w:rsidR="000C78A0" w:rsidRPr="000C78A0" w:rsidRDefault="000C78A0" w:rsidP="000C78A0">
      <w:pPr>
        <w:pStyle w:val="Bibliography"/>
      </w:pPr>
      <w:r w:rsidRPr="000C78A0">
        <w:t>[29]</w:t>
      </w:r>
      <w:r w:rsidRPr="000C78A0">
        <w:tab/>
        <w:t>S. Yadav, A. Mehra, Mathematical modelling and experimental study of carbonation of wollastonite in the aqueous media, Journal of CO2 Utilization 31 (2019) 181–191. https://doi.org/10.1016/j.jcou.2019.03.013.</w:t>
      </w:r>
    </w:p>
    <w:p w14:paraId="7CA40EEA" w14:textId="77777777" w:rsidR="000C78A0" w:rsidRPr="000C78A0" w:rsidRDefault="000C78A0" w:rsidP="000C78A0">
      <w:pPr>
        <w:pStyle w:val="Bibliography"/>
      </w:pPr>
      <w:r w:rsidRPr="000C78A0">
        <w:t>[30]</w:t>
      </w:r>
      <w:r w:rsidRPr="000C78A0">
        <w:tab/>
        <w:t>S. Vyazovkin, A. Galukhin, Problems with Applying the Ozawa–Avrami Crystallization Model to Non-Isothermal Crosslinking Polymerization, Polymers 14 (2022). https://doi.org/10.3390/polym14040693.</w:t>
      </w:r>
    </w:p>
    <w:p w14:paraId="3CDD2EDA" w14:textId="77777777" w:rsidR="000C78A0" w:rsidRPr="000C78A0" w:rsidRDefault="000C78A0" w:rsidP="000C78A0">
      <w:pPr>
        <w:pStyle w:val="Bibliography"/>
      </w:pPr>
      <w:r w:rsidRPr="000C78A0">
        <w:lastRenderedPageBreak/>
        <w:t>[31]</w:t>
      </w:r>
      <w:r w:rsidRPr="000C78A0">
        <w:tab/>
        <w:t>S. Homaee, R. Moeckel, D. Ebert, M. Rudolph, Regimes in Wet Wollastonite Carbonation: A Comparative Kinetics and Multi-Technique Investigation​, (2026). https://doi.org/10.2139/ssrn.6672664.</w:t>
      </w:r>
    </w:p>
    <w:p w14:paraId="0C5B472D" w14:textId="77777777" w:rsidR="000C78A0" w:rsidRPr="000C78A0" w:rsidRDefault="000C78A0" w:rsidP="000C78A0">
      <w:pPr>
        <w:pStyle w:val="Bibliography"/>
      </w:pPr>
      <w:r w:rsidRPr="000C78A0">
        <w:t>[32]</w:t>
      </w:r>
      <w:r w:rsidRPr="000C78A0">
        <w:tab/>
        <w:t>Y. Mao, P. He, S. Drissi, J. Zhang, X. Hu, C. Shi, Effect of conditions on wet carbonation products of recycled cement paste powder, Cement and Concrete Composites 144 (2023) 105307. https://doi.org/10.1016/j.cemconcomp.2023.105307.</w:t>
      </w:r>
    </w:p>
    <w:p w14:paraId="24C644FE" w14:textId="77777777" w:rsidR="000C78A0" w:rsidRPr="000C78A0" w:rsidRDefault="000C78A0" w:rsidP="000C78A0">
      <w:pPr>
        <w:pStyle w:val="Bibliography"/>
      </w:pPr>
      <w:r w:rsidRPr="000C78A0">
        <w:t>[33]</w:t>
      </w:r>
      <w:r w:rsidRPr="000C78A0">
        <w:tab/>
        <w:t>Y. Wu, H. Mehdizadeh, K.H. Mo, T.-C. Ling, High-temperature CO2 for accelerating the carbonation of recycled concrete fines, Journal of Building Engineering 52 (2022) 104526. https://doi.org/10.1016/j.jobe.2022.104526.</w:t>
      </w:r>
    </w:p>
    <w:p w14:paraId="65518E3A" w14:textId="77777777" w:rsidR="000C78A0" w:rsidRPr="000C78A0" w:rsidRDefault="000C78A0" w:rsidP="000C78A0">
      <w:pPr>
        <w:pStyle w:val="Bibliography"/>
      </w:pPr>
      <w:r w:rsidRPr="000C78A0">
        <w:t>[34]</w:t>
      </w:r>
      <w:r w:rsidRPr="000C78A0">
        <w:tab/>
        <w:t>Y. Zhang, H. Yang, Q. Zhang, Q. Qian, C. Zhang, K. Wu, P. Shen, Microstructural Evolution of Calcium Sulfoaluminate Cement during the Wet-Carbonation Process, Buildings 14 (2024) 343. https://doi.org/10.3390/buildings14020343.</w:t>
      </w:r>
    </w:p>
    <w:p w14:paraId="04CA2BA1" w14:textId="77777777" w:rsidR="000C78A0" w:rsidRPr="000C78A0" w:rsidRDefault="000C78A0" w:rsidP="000C78A0">
      <w:pPr>
        <w:pStyle w:val="Bibliography"/>
      </w:pPr>
      <w:r w:rsidRPr="000C78A0">
        <w:t>[35]</w:t>
      </w:r>
      <w:r w:rsidRPr="000C78A0">
        <w:tab/>
        <w:t>P. Allah, H. Nguyen, M. Illikainen, P. Kinnunen, P. Perumal, Wet carbonation of wollastonite with pH-modified solutions at ambient conditions: Insights from a geochemical model, Journal of CO2 Utilization 101 (2025) 103194. https://doi.org/10.1016/j.jcou.2025.103194.</w:t>
      </w:r>
    </w:p>
    <w:p w14:paraId="5AF869D2" w14:textId="77777777" w:rsidR="000C78A0" w:rsidRPr="000C78A0" w:rsidRDefault="000C78A0" w:rsidP="000C78A0">
      <w:pPr>
        <w:pStyle w:val="Bibliography"/>
      </w:pPr>
      <w:r w:rsidRPr="000C78A0">
        <w:t>[36]</w:t>
      </w:r>
      <w:r w:rsidRPr="000C78A0">
        <w:tab/>
        <w:t>A. Phani, H.S. Jung, S. Kim, Deconvolution of dissipative pathways for the interpretation of tapping-mode atomic force microscopy from phase-contrast, Commun Phys 4 (2021) 72. https://doi.org/10.1038/s42005-021-00576-6.</w:t>
      </w:r>
    </w:p>
    <w:p w14:paraId="07008F2F" w14:textId="77777777" w:rsidR="000C78A0" w:rsidRPr="000C78A0" w:rsidRDefault="000C78A0" w:rsidP="000C78A0">
      <w:pPr>
        <w:pStyle w:val="Bibliography"/>
        <w:rPr>
          <w:lang w:val="de-DE"/>
        </w:rPr>
      </w:pPr>
      <w:r w:rsidRPr="000C78A0">
        <w:rPr>
          <w:lang w:val="de-DE"/>
        </w:rPr>
        <w:t>[37]</w:t>
      </w:r>
      <w:r w:rsidRPr="000C78A0">
        <w:rPr>
          <w:lang w:val="de-DE"/>
        </w:rPr>
        <w:tab/>
        <w:t>M. Rudolph, K. Bauer, U.A. Peuker, Phasenkontrast-Rasterkraftmikroskopie für die Charakterisierung der Verteilung von Nanopartikeln in Verbundwerkstoffen, Chemie Ingenieur Technik 82 (2010) 2189–2195. https://doi.org/10.1002/cite.201000090.</w:t>
      </w:r>
    </w:p>
    <w:p w14:paraId="3B81B526" w14:textId="77777777" w:rsidR="000C78A0" w:rsidRPr="000C78A0" w:rsidRDefault="000C78A0" w:rsidP="000C78A0">
      <w:pPr>
        <w:pStyle w:val="Bibliography"/>
      </w:pPr>
      <w:r w:rsidRPr="000C78A0">
        <w:t>[38]</w:t>
      </w:r>
      <w:r w:rsidRPr="000C78A0">
        <w:tab/>
        <w:t>A. Nichols, M.C J.W., Handbook of Mineralogy, n.d.</w:t>
      </w:r>
    </w:p>
    <w:p w14:paraId="7A0F39AF" w14:textId="77777777" w:rsidR="000C78A0" w:rsidRPr="000C78A0" w:rsidRDefault="000C78A0" w:rsidP="000C78A0">
      <w:pPr>
        <w:pStyle w:val="Bibliography"/>
      </w:pPr>
      <w:r w:rsidRPr="000C78A0">
        <w:t>[39]</w:t>
      </w:r>
      <w:r w:rsidRPr="000C78A0">
        <w:tab/>
        <w:t xml:space="preserve">N. Doebelin, R. Kleeberg, </w:t>
      </w:r>
      <w:r w:rsidRPr="000C78A0">
        <w:rPr>
          <w:i/>
          <w:iCs/>
        </w:rPr>
        <w:t>Profex</w:t>
      </w:r>
      <w:r w:rsidRPr="000C78A0">
        <w:t xml:space="preserve"> : a graphical user interface for the Rietveld refinement program </w:t>
      </w:r>
      <w:r w:rsidRPr="000C78A0">
        <w:rPr>
          <w:i/>
          <w:iCs/>
        </w:rPr>
        <w:t>BGMN</w:t>
      </w:r>
      <w:r w:rsidRPr="000C78A0">
        <w:t>, J Appl Crystallogr 48 (2015) 1573–1580. https://doi.org/10.1107/S1600576715014685.</w:t>
      </w:r>
    </w:p>
    <w:p w14:paraId="3524E855" w14:textId="77777777" w:rsidR="000C78A0" w:rsidRPr="000C78A0" w:rsidRDefault="000C78A0" w:rsidP="000C78A0">
      <w:pPr>
        <w:pStyle w:val="Bibliography"/>
      </w:pPr>
      <w:r w:rsidRPr="000C78A0">
        <w:t>[40]</w:t>
      </w:r>
      <w:r w:rsidRPr="000C78A0">
        <w:tab/>
        <w:t>Z. Tabrizi, C. Rodriguez, E. Barbera, W.R. Leal Da Silva, F. Bezzo, Wet Carbonation of Industrial Recycled Concrete Fines: Experimental Study and Reaction Kinetic Modeling, Ind. Eng. Chem. Res. 64 (2025) 21412–21425. https://doi.org/10.1021/acs.iecr.5c02835.</w:t>
      </w:r>
    </w:p>
    <w:p w14:paraId="0023CB26" w14:textId="2F19D5F1" w:rsidR="00065E10" w:rsidRDefault="00C00886" w:rsidP="00065E10">
      <w:pPr>
        <w:pStyle w:val="BodyText"/>
      </w:pPr>
      <w:r w:rsidRPr="00267C17">
        <w:fldChar w:fldCharType="end"/>
      </w:r>
    </w:p>
    <w:p w14:paraId="2154F98F" w14:textId="77777777" w:rsidR="00755D3F" w:rsidRDefault="00755D3F" w:rsidP="00065E10">
      <w:pPr>
        <w:pStyle w:val="BodyText"/>
      </w:pPr>
    </w:p>
    <w:p w14:paraId="360404A0" w14:textId="77777777" w:rsidR="00755D3F" w:rsidRDefault="00755D3F" w:rsidP="00065E10">
      <w:pPr>
        <w:pStyle w:val="BodyText"/>
      </w:pPr>
    </w:p>
    <w:p w14:paraId="232909AA" w14:textId="77777777" w:rsidR="00755D3F" w:rsidRDefault="00755D3F" w:rsidP="00065E10">
      <w:pPr>
        <w:pStyle w:val="BodyText"/>
      </w:pPr>
    </w:p>
    <w:p w14:paraId="5BFFAEB1" w14:textId="77777777" w:rsidR="00755D3F" w:rsidRDefault="00755D3F" w:rsidP="00065E10">
      <w:pPr>
        <w:pStyle w:val="BodyText"/>
      </w:pPr>
    </w:p>
    <w:p w14:paraId="19D5C7E3" w14:textId="77777777" w:rsidR="00755D3F" w:rsidRDefault="00755D3F" w:rsidP="00065E10">
      <w:pPr>
        <w:pStyle w:val="BodyText"/>
      </w:pPr>
    </w:p>
    <w:p w14:paraId="5F6A9C47" w14:textId="77777777" w:rsidR="00755D3F" w:rsidRDefault="00755D3F" w:rsidP="00065E10">
      <w:pPr>
        <w:pStyle w:val="BodyText"/>
      </w:pPr>
    </w:p>
    <w:p w14:paraId="38AAC83F" w14:textId="77777777" w:rsidR="00755D3F" w:rsidRPr="003609EE" w:rsidRDefault="00755D3F" w:rsidP="00065E10">
      <w:pPr>
        <w:pStyle w:val="BodyText"/>
        <w:rPr>
          <w:lang w:val="de-DE"/>
        </w:rPr>
      </w:pPr>
    </w:p>
    <w:p w14:paraId="719847DD" w14:textId="18EF0898" w:rsidR="003071C5" w:rsidRDefault="00284A71" w:rsidP="00D50BD6">
      <w:pPr>
        <w:pStyle w:val="Heading1"/>
      </w:pPr>
      <w:bookmarkStart w:id="16" w:name="_Ref230683170"/>
      <w:bookmarkStart w:id="17" w:name="_Hlk231155796"/>
      <w:r w:rsidRPr="00284A71">
        <w:lastRenderedPageBreak/>
        <w:t>Supporting Information</w:t>
      </w:r>
      <w:bookmarkEnd w:id="16"/>
      <w:r>
        <w:t xml:space="preserve"> </w:t>
      </w:r>
    </w:p>
    <w:p w14:paraId="71DAE6D2" w14:textId="216D5BA5" w:rsidR="002370F2" w:rsidRDefault="002370F2" w:rsidP="002370F2">
      <w:pPr>
        <w:pStyle w:val="Caption"/>
        <w:keepNext/>
      </w:pPr>
      <w:bookmarkStart w:id="18" w:name="_Ref215648963"/>
      <w:bookmarkEnd w:id="17"/>
    </w:p>
    <w:p w14:paraId="7A09DAB9" w14:textId="5D5A12D8" w:rsidR="003071C5" w:rsidRPr="00267C17" w:rsidRDefault="002370F2" w:rsidP="002370F2">
      <w:pPr>
        <w:pStyle w:val="Caption"/>
        <w:rPr>
          <w:rFonts w:ascii="Times New Roman" w:eastAsia="Times New Roman" w:hAnsi="Times New Roman" w:cs="Times New Roman"/>
          <w:i w:val="0"/>
          <w:iCs/>
          <w:lang w:val="da-DK"/>
        </w:rPr>
      </w:pPr>
      <w:bookmarkStart w:id="19" w:name="_Ref231536437"/>
      <w:proofErr w:type="spellStart"/>
      <w:r>
        <w:t>TableS</w:t>
      </w:r>
      <w:proofErr w:type="spellEnd"/>
      <w:r>
        <w:t xml:space="preserve"> </w:t>
      </w:r>
      <w:r>
        <w:fldChar w:fldCharType="begin"/>
      </w:r>
      <w:r>
        <w:instrText xml:space="preserve"> SEQ TableS \* ARABIC </w:instrText>
      </w:r>
      <w:r>
        <w:fldChar w:fldCharType="separate"/>
      </w:r>
      <w:r w:rsidR="00755D3F">
        <w:rPr>
          <w:noProof/>
        </w:rPr>
        <w:t>1</w:t>
      </w:r>
      <w:r>
        <w:fldChar w:fldCharType="end"/>
      </w:r>
      <w:bookmarkEnd w:id="19"/>
      <w:r w:rsidR="003071C5" w:rsidRPr="00267C17">
        <w:rPr>
          <w:rFonts w:ascii="Times New Roman" w:eastAsia="Times New Roman" w:hAnsi="Times New Roman" w:cs="Times New Roman"/>
          <w:i w:val="0"/>
          <w:iCs/>
          <w:lang w:val="da-DK"/>
        </w:rPr>
        <w:t>XRF</w:t>
      </w:r>
      <w:bookmarkEnd w:id="18"/>
      <w:r w:rsidR="003071C5" w:rsidRPr="00267C17">
        <w:rPr>
          <w:rFonts w:ascii="Times New Roman" w:eastAsia="Times New Roman" w:hAnsi="Times New Roman" w:cs="Times New Roman"/>
          <w:i w:val="0"/>
          <w:iCs/>
          <w:lang w:val="da-DK"/>
        </w:rPr>
        <w:t xml:space="preserve"> </w:t>
      </w:r>
      <w:r w:rsidR="003071C5" w:rsidRPr="00267C17">
        <w:rPr>
          <w:rFonts w:ascii="Times New Roman" w:hAnsi="Times New Roman" w:cs="Times New Roman"/>
          <w:lang w:val="da-DK"/>
        </w:rPr>
        <w:t>of Raw wollastonite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6"/>
        <w:gridCol w:w="756"/>
        <w:gridCol w:w="756"/>
        <w:gridCol w:w="702"/>
        <w:gridCol w:w="787"/>
        <w:gridCol w:w="800"/>
        <w:gridCol w:w="907"/>
        <w:gridCol w:w="750"/>
        <w:gridCol w:w="662"/>
      </w:tblGrid>
      <w:tr w:rsidR="00E71B70" w:rsidRPr="00267C17" w14:paraId="69EA54CE" w14:textId="77777777" w:rsidTr="008F0694">
        <w:trPr>
          <w:jc w:val="center"/>
        </w:trPr>
        <w:tc>
          <w:tcPr>
            <w:tcW w:w="0" w:type="auto"/>
            <w:shd w:val="clear" w:color="auto" w:fill="auto"/>
            <w:hideMark/>
          </w:tcPr>
          <w:p w14:paraId="6718EBB5" w14:textId="77777777" w:rsidR="00E71B70" w:rsidRPr="00267C17" w:rsidRDefault="00E71B70" w:rsidP="008F0694">
            <w:pPr>
              <w:spacing w:after="0" w:line="360" w:lineRule="auto"/>
              <w:jc w:val="center"/>
              <w:rPr>
                <w:rFonts w:ascii="Times New Roman" w:eastAsia="Times New Roman" w:hAnsi="Times New Roman" w:cs="Times New Roman"/>
                <w:b/>
                <w:bCs/>
              </w:rPr>
            </w:pPr>
            <w:r w:rsidRPr="00267C17">
              <w:rPr>
                <w:rFonts w:ascii="Times New Roman" w:eastAsia="Times New Roman" w:hAnsi="Times New Roman" w:cs="Times New Roman"/>
                <w:b/>
                <w:bCs/>
              </w:rPr>
              <w:t>Oxide</w:t>
            </w:r>
          </w:p>
        </w:tc>
        <w:tc>
          <w:tcPr>
            <w:tcW w:w="0" w:type="auto"/>
            <w:shd w:val="clear" w:color="auto" w:fill="auto"/>
            <w:hideMark/>
          </w:tcPr>
          <w:p w14:paraId="42176C60" w14:textId="77777777" w:rsidR="00E71B70" w:rsidRPr="00267C17" w:rsidRDefault="00E71B70" w:rsidP="008F0694">
            <w:pPr>
              <w:spacing w:after="0" w:line="360" w:lineRule="auto"/>
              <w:jc w:val="center"/>
              <w:rPr>
                <w:rFonts w:ascii="Times New Roman" w:eastAsia="Times New Roman" w:hAnsi="Times New Roman" w:cs="Times New Roman"/>
                <w:b/>
                <w:bCs/>
              </w:rPr>
            </w:pPr>
            <w:proofErr w:type="spellStart"/>
            <w:r w:rsidRPr="00267C17">
              <w:rPr>
                <w:rFonts w:ascii="Times New Roman" w:eastAsia="Times New Roman" w:hAnsi="Times New Roman" w:cs="Times New Roman"/>
                <w:b/>
                <w:bCs/>
              </w:rPr>
              <w:t>SiO</w:t>
            </w:r>
            <w:proofErr w:type="spellEnd"/>
            <w:r w:rsidRPr="00267C17">
              <w:rPr>
                <w:rFonts w:ascii="Times New Roman" w:eastAsia="Times New Roman" w:hAnsi="Times New Roman" w:cs="Times New Roman"/>
                <w:b/>
                <w:bCs/>
              </w:rPr>
              <w:t>₂</w:t>
            </w:r>
          </w:p>
        </w:tc>
        <w:tc>
          <w:tcPr>
            <w:tcW w:w="0" w:type="auto"/>
            <w:shd w:val="clear" w:color="auto" w:fill="auto"/>
          </w:tcPr>
          <w:p w14:paraId="17A56EC0" w14:textId="77777777" w:rsidR="00E71B70" w:rsidRPr="00267C17" w:rsidRDefault="00E71B70" w:rsidP="008F0694">
            <w:pPr>
              <w:spacing w:after="0" w:line="360" w:lineRule="auto"/>
              <w:jc w:val="center"/>
              <w:rPr>
                <w:rFonts w:ascii="Times New Roman" w:eastAsia="Times New Roman" w:hAnsi="Times New Roman" w:cs="Times New Roman"/>
                <w:b/>
                <w:bCs/>
              </w:rPr>
            </w:pPr>
            <w:proofErr w:type="spellStart"/>
            <w:r w:rsidRPr="00267C17">
              <w:rPr>
                <w:rFonts w:ascii="Times New Roman" w:eastAsia="Times New Roman" w:hAnsi="Times New Roman" w:cs="Times New Roman"/>
                <w:b/>
                <w:bCs/>
              </w:rPr>
              <w:t>CaO</w:t>
            </w:r>
            <w:proofErr w:type="spellEnd"/>
          </w:p>
        </w:tc>
        <w:tc>
          <w:tcPr>
            <w:tcW w:w="0" w:type="auto"/>
            <w:shd w:val="clear" w:color="auto" w:fill="auto"/>
            <w:hideMark/>
          </w:tcPr>
          <w:p w14:paraId="69D36C19" w14:textId="77777777" w:rsidR="00E71B70" w:rsidRPr="00267C17" w:rsidRDefault="00E71B70" w:rsidP="008F0694">
            <w:pPr>
              <w:spacing w:after="0" w:line="360" w:lineRule="auto"/>
              <w:jc w:val="center"/>
              <w:rPr>
                <w:rFonts w:ascii="Times New Roman" w:eastAsia="Times New Roman" w:hAnsi="Times New Roman" w:cs="Times New Roman"/>
                <w:b/>
                <w:bCs/>
              </w:rPr>
            </w:pPr>
            <w:proofErr w:type="spellStart"/>
            <w:r w:rsidRPr="00267C17">
              <w:rPr>
                <w:rFonts w:ascii="Times New Roman" w:eastAsia="Times New Roman" w:hAnsi="Times New Roman" w:cs="Times New Roman"/>
                <w:b/>
                <w:bCs/>
              </w:rPr>
              <w:t>TiO</w:t>
            </w:r>
            <w:proofErr w:type="spellEnd"/>
            <w:r w:rsidRPr="00267C17">
              <w:rPr>
                <w:rFonts w:ascii="Times New Roman" w:eastAsia="Times New Roman" w:hAnsi="Times New Roman" w:cs="Times New Roman"/>
                <w:b/>
                <w:bCs/>
              </w:rPr>
              <w:t>₂</w:t>
            </w:r>
          </w:p>
        </w:tc>
        <w:tc>
          <w:tcPr>
            <w:tcW w:w="0" w:type="auto"/>
            <w:shd w:val="clear" w:color="auto" w:fill="auto"/>
            <w:hideMark/>
          </w:tcPr>
          <w:p w14:paraId="6EE6E434" w14:textId="77777777" w:rsidR="00E71B70" w:rsidRPr="00267C17" w:rsidRDefault="00E71B70" w:rsidP="008F0694">
            <w:pPr>
              <w:spacing w:after="0" w:line="360" w:lineRule="auto"/>
              <w:jc w:val="center"/>
              <w:rPr>
                <w:rFonts w:ascii="Times New Roman" w:eastAsia="Times New Roman" w:hAnsi="Times New Roman" w:cs="Times New Roman"/>
                <w:b/>
                <w:bCs/>
              </w:rPr>
            </w:pPr>
            <w:proofErr w:type="spellStart"/>
            <w:r w:rsidRPr="00267C17">
              <w:rPr>
                <w:rFonts w:ascii="Times New Roman" w:eastAsia="Times New Roman" w:hAnsi="Times New Roman" w:cs="Times New Roman"/>
                <w:b/>
                <w:bCs/>
              </w:rPr>
              <w:t>Al₂O</w:t>
            </w:r>
            <w:proofErr w:type="spellEnd"/>
            <w:r w:rsidRPr="00267C17">
              <w:rPr>
                <w:rFonts w:ascii="Times New Roman" w:eastAsia="Times New Roman" w:hAnsi="Times New Roman" w:cs="Times New Roman"/>
                <w:b/>
                <w:bCs/>
              </w:rPr>
              <w:t>₃</w:t>
            </w:r>
          </w:p>
        </w:tc>
        <w:tc>
          <w:tcPr>
            <w:tcW w:w="0" w:type="auto"/>
            <w:shd w:val="clear" w:color="auto" w:fill="auto"/>
            <w:hideMark/>
          </w:tcPr>
          <w:p w14:paraId="2ACD9906" w14:textId="77777777" w:rsidR="00E71B70" w:rsidRPr="00267C17" w:rsidRDefault="00E71B70" w:rsidP="008F0694">
            <w:pPr>
              <w:spacing w:after="0" w:line="360" w:lineRule="auto"/>
              <w:jc w:val="center"/>
              <w:rPr>
                <w:rFonts w:ascii="Times New Roman" w:eastAsia="Times New Roman" w:hAnsi="Times New Roman" w:cs="Times New Roman"/>
                <w:b/>
                <w:bCs/>
              </w:rPr>
            </w:pPr>
            <w:proofErr w:type="spellStart"/>
            <w:r w:rsidRPr="00267C17">
              <w:rPr>
                <w:rFonts w:ascii="Times New Roman" w:eastAsia="Times New Roman" w:hAnsi="Times New Roman" w:cs="Times New Roman"/>
                <w:b/>
                <w:bCs/>
              </w:rPr>
              <w:t>Fe₂O</w:t>
            </w:r>
            <w:proofErr w:type="spellEnd"/>
            <w:r w:rsidRPr="00267C17">
              <w:rPr>
                <w:rFonts w:ascii="Times New Roman" w:eastAsia="Times New Roman" w:hAnsi="Times New Roman" w:cs="Times New Roman"/>
                <w:b/>
                <w:bCs/>
              </w:rPr>
              <w:t>₃</w:t>
            </w:r>
          </w:p>
        </w:tc>
        <w:tc>
          <w:tcPr>
            <w:tcW w:w="0" w:type="auto"/>
            <w:shd w:val="clear" w:color="auto" w:fill="auto"/>
            <w:hideMark/>
          </w:tcPr>
          <w:p w14:paraId="2C745804" w14:textId="77777777" w:rsidR="00E71B70" w:rsidRPr="00267C17" w:rsidRDefault="00E71B70" w:rsidP="008F0694">
            <w:pPr>
              <w:spacing w:after="0" w:line="360" w:lineRule="auto"/>
              <w:jc w:val="center"/>
              <w:rPr>
                <w:rFonts w:ascii="Times New Roman" w:eastAsia="Times New Roman" w:hAnsi="Times New Roman" w:cs="Times New Roman"/>
                <w:b/>
                <w:bCs/>
              </w:rPr>
            </w:pPr>
            <w:proofErr w:type="spellStart"/>
            <w:r w:rsidRPr="00267C17">
              <w:rPr>
                <w:rFonts w:ascii="Times New Roman" w:eastAsia="Times New Roman" w:hAnsi="Times New Roman" w:cs="Times New Roman"/>
                <w:b/>
                <w:bCs/>
              </w:rPr>
              <w:t>Mn₃O</w:t>
            </w:r>
            <w:proofErr w:type="spellEnd"/>
            <w:r w:rsidRPr="00267C17">
              <w:rPr>
                <w:rFonts w:ascii="Times New Roman" w:eastAsia="Times New Roman" w:hAnsi="Times New Roman" w:cs="Times New Roman"/>
                <w:b/>
                <w:bCs/>
              </w:rPr>
              <w:t>₄</w:t>
            </w:r>
          </w:p>
        </w:tc>
        <w:tc>
          <w:tcPr>
            <w:tcW w:w="0" w:type="auto"/>
            <w:shd w:val="clear" w:color="auto" w:fill="auto"/>
            <w:hideMark/>
          </w:tcPr>
          <w:p w14:paraId="06616D52" w14:textId="77777777" w:rsidR="00E71B70" w:rsidRPr="00267C17" w:rsidRDefault="00E71B70" w:rsidP="008F0694">
            <w:pPr>
              <w:spacing w:after="0" w:line="360" w:lineRule="auto"/>
              <w:jc w:val="center"/>
              <w:rPr>
                <w:rFonts w:ascii="Times New Roman" w:eastAsia="Times New Roman" w:hAnsi="Times New Roman" w:cs="Times New Roman"/>
                <w:b/>
                <w:bCs/>
              </w:rPr>
            </w:pPr>
            <w:r w:rsidRPr="00267C17">
              <w:rPr>
                <w:rFonts w:ascii="Times New Roman" w:eastAsia="Times New Roman" w:hAnsi="Times New Roman" w:cs="Times New Roman"/>
                <w:b/>
                <w:bCs/>
              </w:rPr>
              <w:t>MgO</w:t>
            </w:r>
          </w:p>
        </w:tc>
        <w:tc>
          <w:tcPr>
            <w:tcW w:w="0" w:type="auto"/>
            <w:shd w:val="clear" w:color="auto" w:fill="auto"/>
            <w:hideMark/>
          </w:tcPr>
          <w:p w14:paraId="62AB8A6D" w14:textId="77777777" w:rsidR="00E71B70" w:rsidRPr="00267C17" w:rsidRDefault="00E71B70" w:rsidP="008F0694">
            <w:pPr>
              <w:spacing w:after="0" w:line="360" w:lineRule="auto"/>
              <w:jc w:val="center"/>
              <w:rPr>
                <w:rFonts w:ascii="Times New Roman" w:eastAsia="Times New Roman" w:hAnsi="Times New Roman" w:cs="Times New Roman"/>
                <w:b/>
                <w:bCs/>
              </w:rPr>
            </w:pPr>
            <w:r w:rsidRPr="00267C17">
              <w:rPr>
                <w:rFonts w:ascii="Times New Roman" w:eastAsia="Times New Roman" w:hAnsi="Times New Roman" w:cs="Times New Roman"/>
                <w:b/>
                <w:bCs/>
              </w:rPr>
              <w:t>K₂O</w:t>
            </w:r>
          </w:p>
        </w:tc>
      </w:tr>
      <w:tr w:rsidR="00E71B70" w:rsidRPr="00267C17" w14:paraId="5D09E4F8" w14:textId="77777777" w:rsidTr="008F0694">
        <w:trPr>
          <w:jc w:val="center"/>
        </w:trPr>
        <w:tc>
          <w:tcPr>
            <w:tcW w:w="0" w:type="auto"/>
            <w:shd w:val="clear" w:color="auto" w:fill="auto"/>
            <w:hideMark/>
          </w:tcPr>
          <w:p w14:paraId="5DC4618A" w14:textId="77777777" w:rsidR="00E71B70" w:rsidRPr="00267C17" w:rsidRDefault="00E71B70" w:rsidP="008F0694">
            <w:pPr>
              <w:spacing w:after="0" w:line="360" w:lineRule="auto"/>
              <w:jc w:val="center"/>
              <w:rPr>
                <w:rFonts w:ascii="Times New Roman" w:eastAsia="Times New Roman" w:hAnsi="Times New Roman" w:cs="Times New Roman"/>
                <w:b/>
                <w:bCs/>
              </w:rPr>
            </w:pPr>
            <w:r w:rsidRPr="00267C17">
              <w:rPr>
                <w:rFonts w:ascii="Times New Roman" w:eastAsia="Times New Roman" w:hAnsi="Times New Roman" w:cs="Times New Roman"/>
                <w:b/>
                <w:bCs/>
              </w:rPr>
              <w:t>%</w:t>
            </w:r>
            <w:r>
              <w:rPr>
                <w:rFonts w:ascii="Times New Roman" w:eastAsia="Times New Roman" w:hAnsi="Times New Roman" w:cs="Times New Roman"/>
                <w:b/>
                <w:bCs/>
              </w:rPr>
              <w:t> (</w:t>
            </w:r>
            <w:r w:rsidRPr="00FC7690">
              <w:rPr>
                <w:rFonts w:ascii="Times New Roman" w:eastAsia="Times New Roman" w:hAnsi="Times New Roman" w:cs="Times New Roman"/>
                <w:b/>
                <w:bCs/>
                <w:i/>
              </w:rPr>
              <w:t>m</w:t>
            </w:r>
            <w:r>
              <w:rPr>
                <w:rFonts w:ascii="Times New Roman" w:eastAsia="Times New Roman" w:hAnsi="Times New Roman" w:cs="Times New Roman"/>
                <w:b/>
                <w:bCs/>
              </w:rPr>
              <w:t>/</w:t>
            </w:r>
            <w:r w:rsidRPr="00FC7690">
              <w:rPr>
                <w:rFonts w:ascii="Times New Roman" w:eastAsia="Times New Roman" w:hAnsi="Times New Roman" w:cs="Times New Roman"/>
                <w:b/>
                <w:bCs/>
                <w:i/>
              </w:rPr>
              <w:t>m</w:t>
            </w:r>
            <w:r>
              <w:rPr>
                <w:rFonts w:ascii="Times New Roman" w:eastAsia="Times New Roman" w:hAnsi="Times New Roman" w:cs="Times New Roman"/>
                <w:b/>
                <w:bCs/>
              </w:rPr>
              <w:t>)</w:t>
            </w:r>
          </w:p>
        </w:tc>
        <w:tc>
          <w:tcPr>
            <w:tcW w:w="0" w:type="auto"/>
            <w:shd w:val="clear" w:color="auto" w:fill="auto"/>
            <w:hideMark/>
          </w:tcPr>
          <w:p w14:paraId="51DECAE4" w14:textId="71018E61" w:rsidR="00E71B70" w:rsidRPr="00267C17" w:rsidRDefault="00E71B70" w:rsidP="008F0694">
            <w:pPr>
              <w:spacing w:after="0" w:line="360" w:lineRule="auto"/>
              <w:jc w:val="center"/>
              <w:rPr>
                <w:rFonts w:ascii="Times New Roman" w:eastAsia="Times New Roman" w:hAnsi="Times New Roman" w:cs="Times New Roman"/>
              </w:rPr>
            </w:pPr>
            <w:r w:rsidRPr="00267C17">
              <w:rPr>
                <w:rFonts w:ascii="Times New Roman" w:eastAsia="Times New Roman" w:hAnsi="Times New Roman" w:cs="Times New Roman"/>
              </w:rPr>
              <w:t>51.76</w:t>
            </w:r>
          </w:p>
        </w:tc>
        <w:tc>
          <w:tcPr>
            <w:tcW w:w="0" w:type="auto"/>
            <w:shd w:val="clear" w:color="auto" w:fill="auto"/>
          </w:tcPr>
          <w:p w14:paraId="6B1A6BE9" w14:textId="553D2ECC" w:rsidR="00E71B70" w:rsidRPr="00267C17" w:rsidRDefault="00E71B70" w:rsidP="008F0694">
            <w:pPr>
              <w:spacing w:after="0" w:line="360" w:lineRule="auto"/>
              <w:jc w:val="center"/>
              <w:rPr>
                <w:rFonts w:ascii="Times New Roman" w:eastAsia="Times New Roman" w:hAnsi="Times New Roman" w:cs="Times New Roman"/>
              </w:rPr>
            </w:pPr>
            <w:r w:rsidRPr="00267C17">
              <w:rPr>
                <w:rFonts w:ascii="Times New Roman" w:eastAsia="Times New Roman" w:hAnsi="Times New Roman" w:cs="Times New Roman"/>
              </w:rPr>
              <w:t>42.9</w:t>
            </w:r>
            <w:r w:rsidR="00DE05FA">
              <w:rPr>
                <w:rFonts w:ascii="Times New Roman" w:eastAsia="Times New Roman" w:hAnsi="Times New Roman" w:cs="Times New Roman"/>
              </w:rPr>
              <w:t>1</w:t>
            </w:r>
          </w:p>
        </w:tc>
        <w:tc>
          <w:tcPr>
            <w:tcW w:w="0" w:type="auto"/>
            <w:shd w:val="clear" w:color="auto" w:fill="auto"/>
            <w:hideMark/>
          </w:tcPr>
          <w:p w14:paraId="03315C7C" w14:textId="27391E0E" w:rsidR="00E71B70" w:rsidRPr="00267C17" w:rsidRDefault="00E71B70" w:rsidP="008F0694">
            <w:pPr>
              <w:spacing w:after="0" w:line="360" w:lineRule="auto"/>
              <w:jc w:val="center"/>
              <w:rPr>
                <w:rFonts w:ascii="Times New Roman" w:eastAsia="Times New Roman" w:hAnsi="Times New Roman" w:cs="Times New Roman"/>
              </w:rPr>
            </w:pPr>
            <w:r w:rsidRPr="00267C17">
              <w:rPr>
                <w:rFonts w:ascii="Times New Roman" w:eastAsia="Times New Roman" w:hAnsi="Times New Roman" w:cs="Times New Roman"/>
              </w:rPr>
              <w:t>0.02</w:t>
            </w:r>
          </w:p>
        </w:tc>
        <w:tc>
          <w:tcPr>
            <w:tcW w:w="0" w:type="auto"/>
            <w:shd w:val="clear" w:color="auto" w:fill="auto"/>
            <w:hideMark/>
          </w:tcPr>
          <w:p w14:paraId="17B5C336" w14:textId="5542BFAC" w:rsidR="00E71B70" w:rsidRPr="00267C17" w:rsidRDefault="00E71B70" w:rsidP="008F0694">
            <w:pPr>
              <w:spacing w:after="0" w:line="360" w:lineRule="auto"/>
              <w:jc w:val="center"/>
              <w:rPr>
                <w:rFonts w:ascii="Times New Roman" w:eastAsia="Times New Roman" w:hAnsi="Times New Roman" w:cs="Times New Roman"/>
              </w:rPr>
            </w:pPr>
            <w:r w:rsidRPr="00267C17">
              <w:rPr>
                <w:rFonts w:ascii="Times New Roman" w:eastAsia="Times New Roman" w:hAnsi="Times New Roman" w:cs="Times New Roman"/>
              </w:rPr>
              <w:t>0.27</w:t>
            </w:r>
          </w:p>
        </w:tc>
        <w:tc>
          <w:tcPr>
            <w:tcW w:w="0" w:type="auto"/>
            <w:shd w:val="clear" w:color="auto" w:fill="auto"/>
            <w:hideMark/>
          </w:tcPr>
          <w:p w14:paraId="330EB102" w14:textId="49D60BE6" w:rsidR="00E71B70" w:rsidRPr="00267C17" w:rsidRDefault="00E71B70" w:rsidP="008F0694">
            <w:pPr>
              <w:spacing w:after="0" w:line="360" w:lineRule="auto"/>
              <w:jc w:val="center"/>
              <w:rPr>
                <w:rFonts w:ascii="Times New Roman" w:eastAsia="Times New Roman" w:hAnsi="Times New Roman" w:cs="Times New Roman"/>
              </w:rPr>
            </w:pPr>
            <w:r w:rsidRPr="00267C17">
              <w:rPr>
                <w:rFonts w:ascii="Times New Roman" w:eastAsia="Times New Roman" w:hAnsi="Times New Roman" w:cs="Times New Roman"/>
              </w:rPr>
              <w:t>0.3</w:t>
            </w:r>
            <w:r w:rsidR="00DE05FA">
              <w:rPr>
                <w:rFonts w:ascii="Times New Roman" w:eastAsia="Times New Roman" w:hAnsi="Times New Roman" w:cs="Times New Roman"/>
              </w:rPr>
              <w:t>8</w:t>
            </w:r>
          </w:p>
        </w:tc>
        <w:tc>
          <w:tcPr>
            <w:tcW w:w="0" w:type="auto"/>
            <w:shd w:val="clear" w:color="auto" w:fill="auto"/>
            <w:hideMark/>
          </w:tcPr>
          <w:p w14:paraId="55A961A8" w14:textId="33933FE9" w:rsidR="00E71B70" w:rsidRPr="00267C17" w:rsidRDefault="00E71B70" w:rsidP="008F0694">
            <w:pPr>
              <w:spacing w:after="0" w:line="360" w:lineRule="auto"/>
              <w:jc w:val="center"/>
              <w:rPr>
                <w:rFonts w:ascii="Times New Roman" w:eastAsia="Times New Roman" w:hAnsi="Times New Roman" w:cs="Times New Roman"/>
              </w:rPr>
            </w:pPr>
            <w:r w:rsidRPr="00267C17">
              <w:rPr>
                <w:rFonts w:ascii="Times New Roman" w:eastAsia="Times New Roman" w:hAnsi="Times New Roman" w:cs="Times New Roman"/>
              </w:rPr>
              <w:t>0.05</w:t>
            </w:r>
          </w:p>
        </w:tc>
        <w:tc>
          <w:tcPr>
            <w:tcW w:w="0" w:type="auto"/>
            <w:shd w:val="clear" w:color="auto" w:fill="auto"/>
            <w:hideMark/>
          </w:tcPr>
          <w:p w14:paraId="5E145241" w14:textId="3307A0D1" w:rsidR="00E71B70" w:rsidRPr="00267C17" w:rsidRDefault="00E71B70" w:rsidP="008F0694">
            <w:pPr>
              <w:spacing w:after="0" w:line="360" w:lineRule="auto"/>
              <w:jc w:val="center"/>
              <w:rPr>
                <w:rFonts w:ascii="Times New Roman" w:eastAsia="Times New Roman" w:hAnsi="Times New Roman" w:cs="Times New Roman"/>
              </w:rPr>
            </w:pPr>
            <w:r w:rsidRPr="00267C17">
              <w:rPr>
                <w:rFonts w:ascii="Times New Roman" w:eastAsia="Times New Roman" w:hAnsi="Times New Roman" w:cs="Times New Roman"/>
              </w:rPr>
              <w:t>1.60</w:t>
            </w:r>
          </w:p>
        </w:tc>
        <w:tc>
          <w:tcPr>
            <w:tcW w:w="0" w:type="auto"/>
            <w:shd w:val="clear" w:color="auto" w:fill="auto"/>
            <w:hideMark/>
          </w:tcPr>
          <w:p w14:paraId="4CA47ADA" w14:textId="05D87EFB" w:rsidR="00E71B70" w:rsidRPr="00267C17" w:rsidRDefault="00E71B70" w:rsidP="008F0694">
            <w:pPr>
              <w:spacing w:after="0" w:line="360" w:lineRule="auto"/>
              <w:jc w:val="center"/>
              <w:rPr>
                <w:rFonts w:ascii="Times New Roman" w:eastAsia="Times New Roman" w:hAnsi="Times New Roman" w:cs="Times New Roman"/>
              </w:rPr>
            </w:pPr>
            <w:r w:rsidRPr="00267C17">
              <w:rPr>
                <w:rFonts w:ascii="Times New Roman" w:eastAsia="Times New Roman" w:hAnsi="Times New Roman" w:cs="Times New Roman"/>
              </w:rPr>
              <w:t>0.0</w:t>
            </w:r>
            <w:r w:rsidR="00DE05FA">
              <w:rPr>
                <w:rFonts w:ascii="Times New Roman" w:eastAsia="Times New Roman" w:hAnsi="Times New Roman" w:cs="Times New Roman"/>
              </w:rPr>
              <w:t>3</w:t>
            </w:r>
          </w:p>
        </w:tc>
      </w:tr>
    </w:tbl>
    <w:p w14:paraId="5FA1EDE3" w14:textId="77777777" w:rsidR="003071C5" w:rsidRPr="00267C17" w:rsidRDefault="003071C5" w:rsidP="003071C5">
      <w:pPr>
        <w:pStyle w:val="Caption"/>
        <w:spacing w:line="360" w:lineRule="auto"/>
        <w:jc w:val="center"/>
        <w:rPr>
          <w:rFonts w:ascii="Times New Roman" w:hAnsi="Times New Roman" w:cs="Times New Roman"/>
        </w:rPr>
      </w:pPr>
    </w:p>
    <w:p w14:paraId="622FF79A" w14:textId="44BBCA9C" w:rsidR="003071C5" w:rsidRPr="00267C17" w:rsidRDefault="00E71B70" w:rsidP="00E71B70">
      <w:pPr>
        <w:pStyle w:val="Caption"/>
        <w:jc w:val="center"/>
        <w:rPr>
          <w:rFonts w:ascii="Times New Roman" w:hAnsi="Times New Roman" w:cs="Times New Roman"/>
          <w:lang w:val="da-DK"/>
        </w:rPr>
      </w:pPr>
      <w:bookmarkStart w:id="20" w:name="_Ref231536463"/>
      <w:proofErr w:type="spellStart"/>
      <w:r>
        <w:t>TableS</w:t>
      </w:r>
      <w:proofErr w:type="spellEnd"/>
      <w:r>
        <w:t xml:space="preserve"> </w:t>
      </w:r>
      <w:r>
        <w:fldChar w:fldCharType="begin"/>
      </w:r>
      <w:r>
        <w:instrText xml:space="preserve"> SEQ TableS \* ARABIC </w:instrText>
      </w:r>
      <w:r>
        <w:fldChar w:fldCharType="separate"/>
      </w:r>
      <w:r w:rsidR="00755D3F">
        <w:rPr>
          <w:noProof/>
        </w:rPr>
        <w:t>2</w:t>
      </w:r>
      <w:r>
        <w:fldChar w:fldCharType="end"/>
      </w:r>
      <w:bookmarkEnd w:id="20"/>
      <w:r w:rsidR="0073580D">
        <w:t xml:space="preserve"> </w:t>
      </w:r>
      <w:r w:rsidR="003071C5" w:rsidRPr="00267C17">
        <w:rPr>
          <w:rFonts w:ascii="Times New Roman" w:hAnsi="Times New Roman" w:cs="Times New Roman"/>
          <w:lang w:val="da-DK"/>
        </w:rPr>
        <w:t>Semi-quantitative XRD of Raw wollastonite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3"/>
        <w:gridCol w:w="2143"/>
        <w:gridCol w:w="1116"/>
      </w:tblGrid>
      <w:tr w:rsidR="003071C5" w:rsidRPr="00267C17" w14:paraId="1140F4DB" w14:textId="77777777" w:rsidTr="008F0694">
        <w:trPr>
          <w:jc w:val="center"/>
        </w:trPr>
        <w:tc>
          <w:tcPr>
            <w:tcW w:w="0" w:type="auto"/>
            <w:shd w:val="clear" w:color="auto" w:fill="auto"/>
            <w:hideMark/>
          </w:tcPr>
          <w:p w14:paraId="653ABC7D" w14:textId="77777777" w:rsidR="003071C5" w:rsidRPr="00267C17" w:rsidRDefault="003071C5" w:rsidP="008F0694">
            <w:pPr>
              <w:spacing w:after="0" w:line="360" w:lineRule="auto"/>
              <w:jc w:val="center"/>
              <w:rPr>
                <w:rFonts w:ascii="Times New Roman" w:eastAsia="Times New Roman" w:hAnsi="Times New Roman" w:cs="Times New Roman"/>
                <w:b/>
                <w:bCs/>
              </w:rPr>
            </w:pPr>
            <w:r w:rsidRPr="00267C17">
              <w:rPr>
                <w:rFonts w:ascii="Times New Roman" w:eastAsia="Times New Roman" w:hAnsi="Times New Roman" w:cs="Times New Roman"/>
                <w:b/>
                <w:bCs/>
              </w:rPr>
              <w:t>Phase</w:t>
            </w:r>
          </w:p>
        </w:tc>
        <w:tc>
          <w:tcPr>
            <w:tcW w:w="0" w:type="auto"/>
            <w:shd w:val="clear" w:color="auto" w:fill="auto"/>
            <w:hideMark/>
          </w:tcPr>
          <w:p w14:paraId="195DF6AE" w14:textId="77777777" w:rsidR="003071C5" w:rsidRPr="00267C17" w:rsidRDefault="003071C5" w:rsidP="008F0694">
            <w:pPr>
              <w:spacing w:after="0" w:line="360" w:lineRule="auto"/>
              <w:jc w:val="center"/>
              <w:rPr>
                <w:rFonts w:ascii="Times New Roman" w:eastAsia="Times New Roman" w:hAnsi="Times New Roman" w:cs="Times New Roman"/>
                <w:b/>
                <w:bCs/>
              </w:rPr>
            </w:pPr>
            <w:r w:rsidRPr="00267C17">
              <w:rPr>
                <w:rFonts w:ascii="Times New Roman" w:eastAsia="Times New Roman" w:hAnsi="Times New Roman" w:cs="Times New Roman"/>
                <w:b/>
                <w:bCs/>
              </w:rPr>
              <w:t>Chemical Formula</w:t>
            </w:r>
          </w:p>
        </w:tc>
        <w:tc>
          <w:tcPr>
            <w:tcW w:w="0" w:type="auto"/>
            <w:shd w:val="clear" w:color="auto" w:fill="auto"/>
            <w:hideMark/>
          </w:tcPr>
          <w:p w14:paraId="44CD40EF" w14:textId="77777777" w:rsidR="003071C5" w:rsidRPr="00267C17" w:rsidRDefault="003071C5" w:rsidP="008F0694">
            <w:pPr>
              <w:spacing w:after="0" w:line="360" w:lineRule="auto"/>
              <w:jc w:val="center"/>
              <w:rPr>
                <w:rFonts w:ascii="Times New Roman" w:eastAsia="Times New Roman" w:hAnsi="Times New Roman" w:cs="Times New Roman"/>
                <w:b/>
                <w:bCs/>
              </w:rPr>
            </w:pPr>
            <w:r w:rsidRPr="00267C17">
              <w:rPr>
                <w:rFonts w:ascii="Times New Roman" w:eastAsia="Times New Roman" w:hAnsi="Times New Roman" w:cs="Times New Roman"/>
                <w:b/>
                <w:bCs/>
              </w:rPr>
              <w:t>%</w:t>
            </w:r>
            <w:r>
              <w:rPr>
                <w:rFonts w:ascii="Times New Roman" w:eastAsia="Times New Roman" w:hAnsi="Times New Roman" w:cs="Times New Roman"/>
                <w:b/>
                <w:bCs/>
              </w:rPr>
              <w:t> (</w:t>
            </w:r>
            <w:r w:rsidRPr="00FC7690">
              <w:rPr>
                <w:rFonts w:ascii="Times New Roman" w:eastAsia="Times New Roman" w:hAnsi="Times New Roman" w:cs="Times New Roman"/>
                <w:b/>
                <w:bCs/>
                <w:i/>
              </w:rPr>
              <w:t>m</w:t>
            </w:r>
            <w:r>
              <w:rPr>
                <w:rFonts w:ascii="Times New Roman" w:eastAsia="Times New Roman" w:hAnsi="Times New Roman" w:cs="Times New Roman"/>
                <w:b/>
                <w:bCs/>
              </w:rPr>
              <w:t>/</w:t>
            </w:r>
            <w:r w:rsidRPr="00FC7690">
              <w:rPr>
                <w:rFonts w:ascii="Times New Roman" w:eastAsia="Times New Roman" w:hAnsi="Times New Roman" w:cs="Times New Roman"/>
                <w:b/>
                <w:bCs/>
                <w:i/>
              </w:rPr>
              <w:t>m</w:t>
            </w:r>
            <w:r>
              <w:rPr>
                <w:rFonts w:ascii="Times New Roman" w:eastAsia="Times New Roman" w:hAnsi="Times New Roman" w:cs="Times New Roman"/>
                <w:b/>
                <w:bCs/>
              </w:rPr>
              <w:t>)</w:t>
            </w:r>
          </w:p>
        </w:tc>
      </w:tr>
      <w:tr w:rsidR="003071C5" w:rsidRPr="00267C17" w14:paraId="7470B3AB" w14:textId="77777777" w:rsidTr="008F0694">
        <w:trPr>
          <w:jc w:val="center"/>
        </w:trPr>
        <w:tc>
          <w:tcPr>
            <w:tcW w:w="0" w:type="auto"/>
            <w:shd w:val="clear" w:color="auto" w:fill="auto"/>
            <w:hideMark/>
          </w:tcPr>
          <w:p w14:paraId="03FE3BD8" w14:textId="77777777" w:rsidR="003071C5" w:rsidRPr="00267C17" w:rsidRDefault="003071C5" w:rsidP="008F0694">
            <w:pPr>
              <w:spacing w:after="0" w:line="360" w:lineRule="auto"/>
              <w:jc w:val="center"/>
              <w:rPr>
                <w:rFonts w:ascii="Times New Roman" w:eastAsia="Times New Roman" w:hAnsi="Times New Roman" w:cs="Times New Roman"/>
              </w:rPr>
            </w:pPr>
            <w:r w:rsidRPr="00267C17">
              <w:rPr>
                <w:rFonts w:ascii="Times New Roman" w:eastAsia="Times New Roman" w:hAnsi="Times New Roman" w:cs="Times New Roman"/>
              </w:rPr>
              <w:t>Wollastonite</w:t>
            </w:r>
          </w:p>
        </w:tc>
        <w:tc>
          <w:tcPr>
            <w:tcW w:w="0" w:type="auto"/>
            <w:shd w:val="clear" w:color="auto" w:fill="auto"/>
            <w:hideMark/>
          </w:tcPr>
          <w:p w14:paraId="4B4A8F7B" w14:textId="77777777" w:rsidR="003071C5" w:rsidRPr="00267C17" w:rsidRDefault="003071C5" w:rsidP="008F0694">
            <w:pPr>
              <w:spacing w:after="0" w:line="360" w:lineRule="auto"/>
              <w:jc w:val="center"/>
              <w:rPr>
                <w:rFonts w:ascii="Times New Roman" w:eastAsia="Times New Roman" w:hAnsi="Times New Roman" w:cs="Times New Roman"/>
              </w:rPr>
            </w:pPr>
            <w:proofErr w:type="spellStart"/>
            <w:r w:rsidRPr="00267C17">
              <w:rPr>
                <w:rFonts w:ascii="Times New Roman" w:eastAsia="Times New Roman" w:hAnsi="Times New Roman" w:cs="Times New Roman"/>
              </w:rPr>
              <w:t>CaSiO</w:t>
            </w:r>
            <w:proofErr w:type="spellEnd"/>
            <w:r w:rsidRPr="00267C17">
              <w:rPr>
                <w:rFonts w:ascii="Times New Roman" w:eastAsia="Times New Roman" w:hAnsi="Times New Roman" w:cs="Times New Roman"/>
              </w:rPr>
              <w:t>₃</w:t>
            </w:r>
          </w:p>
        </w:tc>
        <w:tc>
          <w:tcPr>
            <w:tcW w:w="0" w:type="auto"/>
            <w:shd w:val="clear" w:color="auto" w:fill="auto"/>
            <w:hideMark/>
          </w:tcPr>
          <w:p w14:paraId="066F3C80" w14:textId="77777777" w:rsidR="003071C5" w:rsidRPr="00267C17" w:rsidRDefault="003071C5" w:rsidP="008F0694">
            <w:pPr>
              <w:spacing w:after="0" w:line="360" w:lineRule="auto"/>
              <w:jc w:val="center"/>
              <w:rPr>
                <w:rFonts w:ascii="Times New Roman" w:eastAsia="Times New Roman" w:hAnsi="Times New Roman" w:cs="Times New Roman"/>
              </w:rPr>
            </w:pPr>
            <w:r w:rsidRPr="00267C17">
              <w:rPr>
                <w:rFonts w:ascii="Times New Roman" w:eastAsia="Times New Roman" w:hAnsi="Times New Roman" w:cs="Times New Roman"/>
              </w:rPr>
              <w:t xml:space="preserve">77.0 </w:t>
            </w:r>
          </w:p>
        </w:tc>
      </w:tr>
      <w:tr w:rsidR="003071C5" w:rsidRPr="00267C17" w14:paraId="06DEB1A1" w14:textId="77777777" w:rsidTr="008F0694">
        <w:trPr>
          <w:jc w:val="center"/>
        </w:trPr>
        <w:tc>
          <w:tcPr>
            <w:tcW w:w="0" w:type="auto"/>
            <w:shd w:val="clear" w:color="auto" w:fill="auto"/>
            <w:hideMark/>
          </w:tcPr>
          <w:p w14:paraId="22A997AA" w14:textId="77777777" w:rsidR="003071C5" w:rsidRPr="00267C17" w:rsidRDefault="003071C5" w:rsidP="008F0694">
            <w:pPr>
              <w:spacing w:after="0" w:line="360" w:lineRule="auto"/>
              <w:jc w:val="center"/>
              <w:rPr>
                <w:rFonts w:ascii="Times New Roman" w:eastAsia="Times New Roman" w:hAnsi="Times New Roman" w:cs="Times New Roman"/>
              </w:rPr>
            </w:pPr>
            <w:r w:rsidRPr="00267C17">
              <w:rPr>
                <w:rFonts w:ascii="Times New Roman" w:eastAsia="Times New Roman" w:hAnsi="Times New Roman" w:cs="Times New Roman"/>
              </w:rPr>
              <w:t>Calcite</w:t>
            </w:r>
          </w:p>
        </w:tc>
        <w:tc>
          <w:tcPr>
            <w:tcW w:w="0" w:type="auto"/>
            <w:shd w:val="clear" w:color="auto" w:fill="auto"/>
            <w:hideMark/>
          </w:tcPr>
          <w:p w14:paraId="5F2C2800" w14:textId="77777777" w:rsidR="003071C5" w:rsidRPr="00267C17" w:rsidRDefault="003071C5" w:rsidP="008F0694">
            <w:pPr>
              <w:spacing w:after="0" w:line="360" w:lineRule="auto"/>
              <w:jc w:val="center"/>
              <w:rPr>
                <w:rFonts w:ascii="Times New Roman" w:eastAsia="Times New Roman" w:hAnsi="Times New Roman" w:cs="Times New Roman"/>
              </w:rPr>
            </w:pPr>
            <w:proofErr w:type="spellStart"/>
            <w:r w:rsidRPr="00267C17">
              <w:rPr>
                <w:rFonts w:ascii="Times New Roman" w:eastAsia="Times New Roman" w:hAnsi="Times New Roman" w:cs="Times New Roman"/>
              </w:rPr>
              <w:t>CaCO</w:t>
            </w:r>
            <w:proofErr w:type="spellEnd"/>
            <w:r w:rsidRPr="00267C17">
              <w:rPr>
                <w:rFonts w:ascii="Times New Roman" w:eastAsia="Times New Roman" w:hAnsi="Times New Roman" w:cs="Times New Roman"/>
              </w:rPr>
              <w:t>₃</w:t>
            </w:r>
          </w:p>
        </w:tc>
        <w:tc>
          <w:tcPr>
            <w:tcW w:w="0" w:type="auto"/>
            <w:shd w:val="clear" w:color="auto" w:fill="auto"/>
            <w:hideMark/>
          </w:tcPr>
          <w:p w14:paraId="3C0780A3" w14:textId="77777777" w:rsidR="003071C5" w:rsidRPr="00267C17" w:rsidRDefault="003071C5" w:rsidP="008F0694">
            <w:pPr>
              <w:spacing w:after="0" w:line="360" w:lineRule="auto"/>
              <w:jc w:val="center"/>
              <w:rPr>
                <w:rFonts w:ascii="Times New Roman" w:eastAsia="Times New Roman" w:hAnsi="Times New Roman" w:cs="Times New Roman"/>
              </w:rPr>
            </w:pPr>
            <w:r w:rsidRPr="00267C17">
              <w:rPr>
                <w:rFonts w:ascii="Times New Roman" w:eastAsia="Times New Roman" w:hAnsi="Times New Roman" w:cs="Times New Roman"/>
              </w:rPr>
              <w:t xml:space="preserve">7.0 </w:t>
            </w:r>
          </w:p>
        </w:tc>
      </w:tr>
      <w:tr w:rsidR="003071C5" w:rsidRPr="00267C17" w14:paraId="2F5AD799" w14:textId="77777777" w:rsidTr="008F0694">
        <w:trPr>
          <w:jc w:val="center"/>
        </w:trPr>
        <w:tc>
          <w:tcPr>
            <w:tcW w:w="0" w:type="auto"/>
            <w:shd w:val="clear" w:color="auto" w:fill="auto"/>
            <w:hideMark/>
          </w:tcPr>
          <w:p w14:paraId="28511ABF" w14:textId="77777777" w:rsidR="003071C5" w:rsidRPr="00267C17" w:rsidRDefault="003071C5" w:rsidP="008F0694">
            <w:pPr>
              <w:spacing w:after="0" w:line="360" w:lineRule="auto"/>
              <w:jc w:val="center"/>
              <w:rPr>
                <w:rFonts w:ascii="Times New Roman" w:eastAsia="Times New Roman" w:hAnsi="Times New Roman" w:cs="Times New Roman"/>
              </w:rPr>
            </w:pPr>
            <w:r w:rsidRPr="00267C17">
              <w:rPr>
                <w:rFonts w:ascii="Times New Roman" w:eastAsia="Times New Roman" w:hAnsi="Times New Roman" w:cs="Times New Roman"/>
              </w:rPr>
              <w:t>Quartz</w:t>
            </w:r>
          </w:p>
        </w:tc>
        <w:tc>
          <w:tcPr>
            <w:tcW w:w="0" w:type="auto"/>
            <w:shd w:val="clear" w:color="auto" w:fill="auto"/>
            <w:hideMark/>
          </w:tcPr>
          <w:p w14:paraId="4A7BE023" w14:textId="77777777" w:rsidR="003071C5" w:rsidRPr="00267C17" w:rsidRDefault="003071C5" w:rsidP="008F0694">
            <w:pPr>
              <w:spacing w:after="0" w:line="360" w:lineRule="auto"/>
              <w:jc w:val="center"/>
              <w:rPr>
                <w:rFonts w:ascii="Times New Roman" w:eastAsia="Times New Roman" w:hAnsi="Times New Roman" w:cs="Times New Roman"/>
              </w:rPr>
            </w:pPr>
            <w:proofErr w:type="spellStart"/>
            <w:r w:rsidRPr="00267C17">
              <w:rPr>
                <w:rFonts w:ascii="Times New Roman" w:eastAsia="Times New Roman" w:hAnsi="Times New Roman" w:cs="Times New Roman"/>
              </w:rPr>
              <w:t>SiO</w:t>
            </w:r>
            <w:proofErr w:type="spellEnd"/>
            <w:r w:rsidRPr="00267C17">
              <w:rPr>
                <w:rFonts w:ascii="Times New Roman" w:eastAsia="Times New Roman" w:hAnsi="Times New Roman" w:cs="Times New Roman"/>
              </w:rPr>
              <w:t>₂</w:t>
            </w:r>
          </w:p>
        </w:tc>
        <w:tc>
          <w:tcPr>
            <w:tcW w:w="0" w:type="auto"/>
            <w:shd w:val="clear" w:color="auto" w:fill="auto"/>
            <w:hideMark/>
          </w:tcPr>
          <w:p w14:paraId="0D5274E3" w14:textId="77777777" w:rsidR="003071C5" w:rsidRPr="00267C17" w:rsidRDefault="003071C5" w:rsidP="008F0694">
            <w:pPr>
              <w:spacing w:after="0" w:line="360" w:lineRule="auto"/>
              <w:jc w:val="center"/>
              <w:rPr>
                <w:rFonts w:ascii="Times New Roman" w:eastAsia="Times New Roman" w:hAnsi="Times New Roman" w:cs="Times New Roman"/>
              </w:rPr>
            </w:pPr>
            <w:r w:rsidRPr="00267C17">
              <w:rPr>
                <w:rFonts w:ascii="Times New Roman" w:eastAsia="Times New Roman" w:hAnsi="Times New Roman" w:cs="Times New Roman"/>
              </w:rPr>
              <w:t xml:space="preserve">4.6 </w:t>
            </w:r>
          </w:p>
        </w:tc>
      </w:tr>
      <w:tr w:rsidR="003071C5" w:rsidRPr="00267C17" w14:paraId="662F0A0C" w14:textId="77777777" w:rsidTr="008F0694">
        <w:trPr>
          <w:jc w:val="center"/>
        </w:trPr>
        <w:tc>
          <w:tcPr>
            <w:tcW w:w="0" w:type="auto"/>
            <w:shd w:val="clear" w:color="auto" w:fill="auto"/>
            <w:hideMark/>
          </w:tcPr>
          <w:p w14:paraId="4B0DC5B9" w14:textId="77777777" w:rsidR="003071C5" w:rsidRPr="00267C17" w:rsidRDefault="003071C5" w:rsidP="008F0694">
            <w:pPr>
              <w:spacing w:after="0" w:line="360" w:lineRule="auto"/>
              <w:jc w:val="center"/>
              <w:rPr>
                <w:rFonts w:ascii="Times New Roman" w:eastAsia="Times New Roman" w:hAnsi="Times New Roman" w:cs="Times New Roman"/>
              </w:rPr>
            </w:pPr>
            <w:r w:rsidRPr="00267C17">
              <w:rPr>
                <w:rFonts w:ascii="Times New Roman" w:eastAsia="Times New Roman" w:hAnsi="Times New Roman" w:cs="Times New Roman"/>
              </w:rPr>
              <w:t>Diopside</w:t>
            </w:r>
          </w:p>
        </w:tc>
        <w:tc>
          <w:tcPr>
            <w:tcW w:w="0" w:type="auto"/>
            <w:shd w:val="clear" w:color="auto" w:fill="auto"/>
            <w:hideMark/>
          </w:tcPr>
          <w:p w14:paraId="6A672C70" w14:textId="77777777" w:rsidR="003071C5" w:rsidRPr="00267C17" w:rsidRDefault="003071C5" w:rsidP="008F0694">
            <w:pPr>
              <w:spacing w:after="0" w:line="360" w:lineRule="auto"/>
              <w:jc w:val="center"/>
              <w:rPr>
                <w:rFonts w:ascii="Times New Roman" w:eastAsia="Times New Roman" w:hAnsi="Times New Roman" w:cs="Times New Roman"/>
              </w:rPr>
            </w:pPr>
            <w:proofErr w:type="spellStart"/>
            <w:r w:rsidRPr="00267C17">
              <w:rPr>
                <w:rFonts w:ascii="Times New Roman" w:eastAsia="Times New Roman" w:hAnsi="Times New Roman" w:cs="Times New Roman"/>
              </w:rPr>
              <w:t>CaMgSi₂O</w:t>
            </w:r>
            <w:proofErr w:type="spellEnd"/>
            <w:r w:rsidRPr="00267C17">
              <w:rPr>
                <w:rFonts w:ascii="Times New Roman" w:eastAsia="Times New Roman" w:hAnsi="Times New Roman" w:cs="Times New Roman"/>
              </w:rPr>
              <w:t>₆</w:t>
            </w:r>
          </w:p>
        </w:tc>
        <w:tc>
          <w:tcPr>
            <w:tcW w:w="0" w:type="auto"/>
            <w:shd w:val="clear" w:color="auto" w:fill="auto"/>
            <w:hideMark/>
          </w:tcPr>
          <w:p w14:paraId="1320A38D" w14:textId="77777777" w:rsidR="003071C5" w:rsidRPr="00267C17" w:rsidRDefault="003071C5" w:rsidP="008F0694">
            <w:pPr>
              <w:spacing w:after="0" w:line="360" w:lineRule="auto"/>
              <w:jc w:val="center"/>
              <w:rPr>
                <w:rFonts w:ascii="Times New Roman" w:eastAsia="Times New Roman" w:hAnsi="Times New Roman" w:cs="Times New Roman"/>
              </w:rPr>
            </w:pPr>
            <w:r w:rsidRPr="00267C17">
              <w:rPr>
                <w:rFonts w:ascii="Times New Roman" w:eastAsia="Times New Roman" w:hAnsi="Times New Roman" w:cs="Times New Roman"/>
              </w:rPr>
              <w:t xml:space="preserve">9.0 </w:t>
            </w:r>
          </w:p>
        </w:tc>
      </w:tr>
    </w:tbl>
    <w:p w14:paraId="35A1668C" w14:textId="77777777" w:rsidR="003071C5" w:rsidRPr="00267C17" w:rsidRDefault="003071C5" w:rsidP="003071C5">
      <w:pPr>
        <w:pStyle w:val="Caption"/>
        <w:jc w:val="center"/>
        <w:rPr>
          <w:rFonts w:ascii="Times New Roman" w:hAnsi="Times New Roman" w:cs="Times New Roman"/>
          <w:lang w:val="da-DK"/>
        </w:rPr>
      </w:pPr>
    </w:p>
    <w:p w14:paraId="0BE7C9D3" w14:textId="1419C3AC" w:rsidR="003071C5" w:rsidRPr="00267C17" w:rsidRDefault="00E71B70" w:rsidP="00E71B70">
      <w:pPr>
        <w:pStyle w:val="Caption"/>
        <w:jc w:val="center"/>
        <w:rPr>
          <w:rFonts w:ascii="Times New Roman" w:hAnsi="Times New Roman" w:cs="Times New Roman"/>
          <w:lang w:val="da-DK"/>
        </w:rPr>
      </w:pPr>
      <w:bookmarkStart w:id="21" w:name="_Ref231536473"/>
      <w:proofErr w:type="spellStart"/>
      <w:r>
        <w:t>TableS</w:t>
      </w:r>
      <w:proofErr w:type="spellEnd"/>
      <w:r>
        <w:t xml:space="preserve"> </w:t>
      </w:r>
      <w:r>
        <w:fldChar w:fldCharType="begin"/>
      </w:r>
      <w:r>
        <w:instrText xml:space="preserve"> SEQ TableS \* ARABIC </w:instrText>
      </w:r>
      <w:r>
        <w:fldChar w:fldCharType="separate"/>
      </w:r>
      <w:r w:rsidR="00755D3F">
        <w:rPr>
          <w:noProof/>
        </w:rPr>
        <w:t>3</w:t>
      </w:r>
      <w:r>
        <w:fldChar w:fldCharType="end"/>
      </w:r>
      <w:bookmarkEnd w:id="21"/>
      <w:r w:rsidR="0073580D">
        <w:t xml:space="preserve"> </w:t>
      </w:r>
      <w:r w:rsidR="003071C5" w:rsidRPr="00267C17">
        <w:rPr>
          <w:rFonts w:ascii="Times New Roman" w:hAnsi="Times New Roman" w:cs="Times New Roman"/>
          <w:lang w:val="da-DK"/>
        </w:rPr>
        <w:t>PSD of wollastonite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9"/>
        <w:gridCol w:w="1703"/>
        <w:gridCol w:w="2023"/>
      </w:tblGrid>
      <w:tr w:rsidR="003071C5" w:rsidRPr="00267C17" w14:paraId="04231955" w14:textId="77777777" w:rsidTr="008F0694">
        <w:trPr>
          <w:jc w:val="center"/>
        </w:trPr>
        <w:tc>
          <w:tcPr>
            <w:tcW w:w="0" w:type="auto"/>
            <w:shd w:val="clear" w:color="auto" w:fill="auto"/>
            <w:hideMark/>
          </w:tcPr>
          <w:p w14:paraId="563669A2" w14:textId="77777777" w:rsidR="003071C5" w:rsidRPr="00267C17" w:rsidRDefault="003071C5" w:rsidP="008F0694">
            <w:pPr>
              <w:spacing w:after="0" w:line="360" w:lineRule="auto"/>
              <w:jc w:val="center"/>
              <w:rPr>
                <w:rFonts w:ascii="Times New Roman" w:eastAsia="Times New Roman" w:hAnsi="Times New Roman" w:cs="Times New Roman"/>
                <w:b/>
                <w:bCs/>
              </w:rPr>
            </w:pPr>
            <w:r w:rsidRPr="00267C17">
              <w:rPr>
                <w:rFonts w:ascii="Times New Roman" w:eastAsia="Times New Roman" w:hAnsi="Times New Roman" w:cs="Times New Roman"/>
                <w:b/>
                <w:bCs/>
              </w:rPr>
              <w:t>Parameter</w:t>
            </w:r>
          </w:p>
        </w:tc>
        <w:tc>
          <w:tcPr>
            <w:tcW w:w="0" w:type="auto"/>
            <w:shd w:val="clear" w:color="auto" w:fill="auto"/>
            <w:hideMark/>
          </w:tcPr>
          <w:p w14:paraId="007F5EB9" w14:textId="77777777" w:rsidR="003071C5" w:rsidRPr="00267C17" w:rsidRDefault="003071C5" w:rsidP="008F0694">
            <w:pPr>
              <w:spacing w:after="0" w:line="360" w:lineRule="auto"/>
              <w:jc w:val="center"/>
              <w:rPr>
                <w:rFonts w:ascii="Times New Roman" w:eastAsia="Times New Roman" w:hAnsi="Times New Roman" w:cs="Times New Roman"/>
                <w:b/>
                <w:bCs/>
              </w:rPr>
            </w:pPr>
            <w:r w:rsidRPr="00267C17">
              <w:rPr>
                <w:rFonts w:ascii="Times New Roman" w:eastAsia="Times New Roman" w:hAnsi="Times New Roman" w:cs="Times New Roman"/>
                <w:b/>
                <w:bCs/>
              </w:rPr>
              <w:t>After grinding</w:t>
            </w:r>
          </w:p>
        </w:tc>
        <w:tc>
          <w:tcPr>
            <w:tcW w:w="2023" w:type="dxa"/>
          </w:tcPr>
          <w:p w14:paraId="31617DC7" w14:textId="77777777" w:rsidR="003071C5" w:rsidRPr="00267C17" w:rsidRDefault="003071C5" w:rsidP="008F0694">
            <w:pPr>
              <w:spacing w:after="0" w:line="360" w:lineRule="auto"/>
              <w:jc w:val="center"/>
              <w:rPr>
                <w:rFonts w:ascii="Times New Roman" w:eastAsia="Times New Roman" w:hAnsi="Times New Roman" w:cs="Times New Roman"/>
                <w:b/>
                <w:bCs/>
              </w:rPr>
            </w:pPr>
            <w:r w:rsidRPr="00267C17">
              <w:rPr>
                <w:rFonts w:ascii="Times New Roman" w:eastAsia="Times New Roman" w:hAnsi="Times New Roman" w:cs="Times New Roman"/>
                <w:b/>
                <w:bCs/>
              </w:rPr>
              <w:t>without grinding</w:t>
            </w:r>
          </w:p>
        </w:tc>
      </w:tr>
      <w:tr w:rsidR="003071C5" w:rsidRPr="00267C17" w14:paraId="312BE12E" w14:textId="77777777" w:rsidTr="008F0694">
        <w:trPr>
          <w:jc w:val="center"/>
        </w:trPr>
        <w:tc>
          <w:tcPr>
            <w:tcW w:w="0" w:type="auto"/>
            <w:shd w:val="clear" w:color="auto" w:fill="auto"/>
            <w:hideMark/>
          </w:tcPr>
          <w:p w14:paraId="518F8F48" w14:textId="77777777" w:rsidR="003071C5" w:rsidRPr="00267C17" w:rsidRDefault="003071C5" w:rsidP="008F0694">
            <w:pPr>
              <w:spacing w:after="0" w:line="360" w:lineRule="auto"/>
              <w:jc w:val="center"/>
              <w:rPr>
                <w:rFonts w:ascii="Times New Roman" w:eastAsia="Times New Roman" w:hAnsi="Times New Roman" w:cs="Times New Roman"/>
              </w:rPr>
            </w:pPr>
            <w:r w:rsidRPr="00267C17">
              <w:rPr>
                <w:rFonts w:ascii="Times New Roman" w:eastAsia="Times New Roman" w:hAnsi="Times New Roman" w:cs="Times New Roman"/>
                <w:i/>
              </w:rPr>
              <w:t>d</w:t>
            </w:r>
            <w:r w:rsidRPr="00267C17">
              <w:rPr>
                <w:rFonts w:ascii="Times New Roman" w:eastAsia="Times New Roman" w:hAnsi="Times New Roman" w:cs="Times New Roman"/>
                <w:vertAlign w:val="subscript"/>
              </w:rPr>
              <w:t>10,3</w:t>
            </w:r>
          </w:p>
        </w:tc>
        <w:tc>
          <w:tcPr>
            <w:tcW w:w="0" w:type="auto"/>
            <w:shd w:val="clear" w:color="auto" w:fill="auto"/>
            <w:hideMark/>
          </w:tcPr>
          <w:p w14:paraId="0B78A499" w14:textId="77777777" w:rsidR="003071C5" w:rsidRPr="00267C17" w:rsidRDefault="003071C5" w:rsidP="008F0694">
            <w:pPr>
              <w:spacing w:after="0" w:line="360" w:lineRule="auto"/>
              <w:jc w:val="center"/>
              <w:rPr>
                <w:rFonts w:ascii="Times New Roman" w:eastAsia="Times New Roman" w:hAnsi="Times New Roman" w:cs="Times New Roman"/>
              </w:rPr>
            </w:pPr>
            <w:r w:rsidRPr="00267C17">
              <w:rPr>
                <w:rFonts w:ascii="Times New Roman" w:eastAsia="Times New Roman" w:hAnsi="Times New Roman" w:cs="Times New Roman"/>
              </w:rPr>
              <w:t>0.8 </w:t>
            </w:r>
            <w:proofErr w:type="spellStart"/>
            <w:r w:rsidRPr="00267C17">
              <w:rPr>
                <w:rFonts w:ascii="Times New Roman" w:eastAsia="Times New Roman" w:hAnsi="Times New Roman" w:cs="Times New Roman"/>
              </w:rPr>
              <w:t>μm</w:t>
            </w:r>
            <w:proofErr w:type="spellEnd"/>
          </w:p>
        </w:tc>
        <w:tc>
          <w:tcPr>
            <w:tcW w:w="2023" w:type="dxa"/>
          </w:tcPr>
          <w:p w14:paraId="2E4F3EE0" w14:textId="77777777" w:rsidR="003071C5" w:rsidRPr="00267C17" w:rsidRDefault="003071C5" w:rsidP="008F0694">
            <w:pPr>
              <w:spacing w:after="0" w:line="360" w:lineRule="auto"/>
              <w:jc w:val="center"/>
              <w:rPr>
                <w:rFonts w:ascii="Times New Roman" w:eastAsia="Times New Roman" w:hAnsi="Times New Roman" w:cs="Times New Roman"/>
              </w:rPr>
            </w:pPr>
            <w:r w:rsidRPr="00267C17">
              <w:rPr>
                <w:rFonts w:ascii="Times New Roman" w:eastAsia="Times New Roman" w:hAnsi="Times New Roman" w:cs="Times New Roman"/>
              </w:rPr>
              <w:t>1.3 </w:t>
            </w:r>
            <w:proofErr w:type="spellStart"/>
            <w:r w:rsidRPr="00267C17">
              <w:rPr>
                <w:rFonts w:ascii="Times New Roman" w:eastAsia="Times New Roman" w:hAnsi="Times New Roman" w:cs="Times New Roman"/>
              </w:rPr>
              <w:t>μm</w:t>
            </w:r>
            <w:proofErr w:type="spellEnd"/>
          </w:p>
        </w:tc>
      </w:tr>
      <w:tr w:rsidR="003071C5" w:rsidRPr="00267C17" w14:paraId="53303481" w14:textId="77777777" w:rsidTr="008F0694">
        <w:trPr>
          <w:jc w:val="center"/>
        </w:trPr>
        <w:tc>
          <w:tcPr>
            <w:tcW w:w="0" w:type="auto"/>
            <w:shd w:val="clear" w:color="auto" w:fill="auto"/>
            <w:hideMark/>
          </w:tcPr>
          <w:p w14:paraId="7B6A7853" w14:textId="77777777" w:rsidR="003071C5" w:rsidRPr="00267C17" w:rsidRDefault="003071C5" w:rsidP="008F0694">
            <w:pPr>
              <w:spacing w:after="0" w:line="360" w:lineRule="auto"/>
              <w:jc w:val="center"/>
              <w:rPr>
                <w:rFonts w:ascii="Times New Roman" w:eastAsia="Times New Roman" w:hAnsi="Times New Roman" w:cs="Times New Roman"/>
              </w:rPr>
            </w:pPr>
            <w:r w:rsidRPr="00267C17">
              <w:rPr>
                <w:rFonts w:ascii="Times New Roman" w:eastAsia="Times New Roman" w:hAnsi="Times New Roman" w:cs="Times New Roman"/>
                <w:i/>
              </w:rPr>
              <w:t>d</w:t>
            </w:r>
            <w:r w:rsidRPr="00267C17">
              <w:rPr>
                <w:rFonts w:ascii="Times New Roman" w:eastAsia="Times New Roman" w:hAnsi="Times New Roman" w:cs="Times New Roman"/>
                <w:vertAlign w:val="subscript"/>
              </w:rPr>
              <w:t>50,3</w:t>
            </w:r>
          </w:p>
        </w:tc>
        <w:tc>
          <w:tcPr>
            <w:tcW w:w="0" w:type="auto"/>
            <w:shd w:val="clear" w:color="auto" w:fill="auto"/>
            <w:hideMark/>
          </w:tcPr>
          <w:p w14:paraId="3E970775" w14:textId="77777777" w:rsidR="003071C5" w:rsidRPr="00267C17" w:rsidRDefault="003071C5" w:rsidP="008F0694">
            <w:pPr>
              <w:spacing w:after="0" w:line="360" w:lineRule="auto"/>
              <w:jc w:val="center"/>
              <w:rPr>
                <w:rFonts w:ascii="Times New Roman" w:eastAsia="Times New Roman" w:hAnsi="Times New Roman" w:cs="Times New Roman"/>
              </w:rPr>
            </w:pPr>
            <w:r w:rsidRPr="00267C17">
              <w:rPr>
                <w:rFonts w:ascii="Times New Roman" w:eastAsia="Times New Roman" w:hAnsi="Times New Roman" w:cs="Times New Roman"/>
              </w:rPr>
              <w:t>4.2 </w:t>
            </w:r>
            <w:proofErr w:type="spellStart"/>
            <w:r w:rsidRPr="00267C17">
              <w:rPr>
                <w:rFonts w:ascii="Times New Roman" w:eastAsia="Times New Roman" w:hAnsi="Times New Roman" w:cs="Times New Roman"/>
              </w:rPr>
              <w:t>μm</w:t>
            </w:r>
            <w:proofErr w:type="spellEnd"/>
          </w:p>
        </w:tc>
        <w:tc>
          <w:tcPr>
            <w:tcW w:w="2023" w:type="dxa"/>
          </w:tcPr>
          <w:p w14:paraId="4305DE5B" w14:textId="77777777" w:rsidR="003071C5" w:rsidRPr="00267C17" w:rsidRDefault="003071C5" w:rsidP="008F0694">
            <w:pPr>
              <w:spacing w:after="0" w:line="360" w:lineRule="auto"/>
              <w:jc w:val="center"/>
              <w:rPr>
                <w:rFonts w:ascii="Times New Roman" w:eastAsia="Times New Roman" w:hAnsi="Times New Roman" w:cs="Times New Roman"/>
              </w:rPr>
            </w:pPr>
            <w:r w:rsidRPr="00267C17">
              <w:rPr>
                <w:rFonts w:ascii="Times New Roman" w:eastAsia="Times New Roman" w:hAnsi="Times New Roman" w:cs="Times New Roman"/>
              </w:rPr>
              <w:t>12.5 </w:t>
            </w:r>
            <w:proofErr w:type="spellStart"/>
            <w:r w:rsidRPr="00267C17">
              <w:rPr>
                <w:rFonts w:ascii="Times New Roman" w:eastAsia="Times New Roman" w:hAnsi="Times New Roman" w:cs="Times New Roman"/>
              </w:rPr>
              <w:t>μm</w:t>
            </w:r>
            <w:proofErr w:type="spellEnd"/>
          </w:p>
        </w:tc>
      </w:tr>
      <w:tr w:rsidR="003071C5" w:rsidRPr="00267C17" w14:paraId="5E110A42" w14:textId="77777777" w:rsidTr="008F0694">
        <w:trPr>
          <w:jc w:val="center"/>
        </w:trPr>
        <w:tc>
          <w:tcPr>
            <w:tcW w:w="0" w:type="auto"/>
            <w:shd w:val="clear" w:color="auto" w:fill="auto"/>
            <w:hideMark/>
          </w:tcPr>
          <w:p w14:paraId="7B5B24D5" w14:textId="77777777" w:rsidR="003071C5" w:rsidRPr="00267C17" w:rsidRDefault="003071C5" w:rsidP="008F0694">
            <w:pPr>
              <w:spacing w:after="0" w:line="360" w:lineRule="auto"/>
              <w:jc w:val="center"/>
              <w:rPr>
                <w:rFonts w:ascii="Times New Roman" w:eastAsia="Times New Roman" w:hAnsi="Times New Roman" w:cs="Times New Roman"/>
              </w:rPr>
            </w:pPr>
            <w:r w:rsidRPr="00267C17">
              <w:rPr>
                <w:rFonts w:ascii="Times New Roman" w:eastAsia="Times New Roman" w:hAnsi="Times New Roman" w:cs="Times New Roman"/>
                <w:i/>
              </w:rPr>
              <w:t>d</w:t>
            </w:r>
            <w:r w:rsidRPr="00267C17">
              <w:rPr>
                <w:rFonts w:ascii="Times New Roman" w:eastAsia="Times New Roman" w:hAnsi="Times New Roman" w:cs="Times New Roman"/>
                <w:vertAlign w:val="subscript"/>
              </w:rPr>
              <w:t>90,3</w:t>
            </w:r>
          </w:p>
        </w:tc>
        <w:tc>
          <w:tcPr>
            <w:tcW w:w="0" w:type="auto"/>
            <w:shd w:val="clear" w:color="auto" w:fill="auto"/>
            <w:hideMark/>
          </w:tcPr>
          <w:p w14:paraId="72A0F5C3" w14:textId="77777777" w:rsidR="003071C5" w:rsidRPr="00267C17" w:rsidRDefault="003071C5" w:rsidP="008F0694">
            <w:pPr>
              <w:spacing w:after="0" w:line="360" w:lineRule="auto"/>
              <w:jc w:val="center"/>
              <w:rPr>
                <w:rFonts w:ascii="Times New Roman" w:eastAsia="Times New Roman" w:hAnsi="Times New Roman" w:cs="Times New Roman"/>
              </w:rPr>
            </w:pPr>
            <w:r w:rsidRPr="00267C17">
              <w:rPr>
                <w:rFonts w:ascii="Times New Roman" w:eastAsia="Times New Roman" w:hAnsi="Times New Roman" w:cs="Times New Roman"/>
              </w:rPr>
              <w:t>24.0 </w:t>
            </w:r>
            <w:proofErr w:type="spellStart"/>
            <w:r w:rsidRPr="00267C17">
              <w:rPr>
                <w:rFonts w:ascii="Times New Roman" w:eastAsia="Times New Roman" w:hAnsi="Times New Roman" w:cs="Times New Roman"/>
              </w:rPr>
              <w:t>μm</w:t>
            </w:r>
            <w:proofErr w:type="spellEnd"/>
          </w:p>
        </w:tc>
        <w:tc>
          <w:tcPr>
            <w:tcW w:w="2023" w:type="dxa"/>
          </w:tcPr>
          <w:p w14:paraId="240139BF" w14:textId="77777777" w:rsidR="003071C5" w:rsidRPr="00267C17" w:rsidRDefault="003071C5" w:rsidP="008F0694">
            <w:pPr>
              <w:spacing w:after="0" w:line="360" w:lineRule="auto"/>
              <w:jc w:val="center"/>
              <w:rPr>
                <w:rFonts w:ascii="Times New Roman" w:eastAsia="Times New Roman" w:hAnsi="Times New Roman" w:cs="Times New Roman"/>
              </w:rPr>
            </w:pPr>
            <w:r w:rsidRPr="00267C17">
              <w:rPr>
                <w:rFonts w:ascii="Times New Roman" w:eastAsia="Times New Roman" w:hAnsi="Times New Roman" w:cs="Times New Roman"/>
              </w:rPr>
              <w:t>42.7 </w:t>
            </w:r>
            <w:proofErr w:type="spellStart"/>
            <w:r w:rsidRPr="00267C17">
              <w:rPr>
                <w:rFonts w:ascii="Times New Roman" w:eastAsia="Times New Roman" w:hAnsi="Times New Roman" w:cs="Times New Roman"/>
              </w:rPr>
              <w:t>μm</w:t>
            </w:r>
            <w:proofErr w:type="spellEnd"/>
          </w:p>
        </w:tc>
      </w:tr>
      <w:tr w:rsidR="003071C5" w:rsidRPr="00267C17" w14:paraId="3CA090EF" w14:textId="77777777" w:rsidTr="008F0694">
        <w:trPr>
          <w:jc w:val="center"/>
        </w:trPr>
        <w:tc>
          <w:tcPr>
            <w:tcW w:w="1309" w:type="dxa"/>
            <w:shd w:val="clear" w:color="auto" w:fill="auto"/>
            <w:hideMark/>
          </w:tcPr>
          <w:p w14:paraId="4EC376D1" w14:textId="77777777" w:rsidR="003071C5" w:rsidRPr="00267C17" w:rsidRDefault="003071C5" w:rsidP="008F0694">
            <w:pPr>
              <w:spacing w:after="0" w:line="360" w:lineRule="auto"/>
              <w:jc w:val="center"/>
              <w:rPr>
                <w:rFonts w:ascii="Times New Roman" w:eastAsia="Times New Roman" w:hAnsi="Times New Roman" w:cs="Times New Roman"/>
              </w:rPr>
            </w:pPr>
            <w:proofErr w:type="spellStart"/>
            <w:r w:rsidRPr="006E1B3D">
              <w:rPr>
                <w:rFonts w:ascii="Times New Roman" w:eastAsia="Times New Roman" w:hAnsi="Times New Roman" w:cs="Times New Roman"/>
                <w:i/>
              </w:rPr>
              <w:t>d</w:t>
            </w:r>
            <w:r w:rsidRPr="006E1B3D">
              <w:rPr>
                <w:rFonts w:ascii="Times New Roman" w:eastAsia="Times New Roman" w:hAnsi="Times New Roman" w:cs="Times New Roman"/>
                <w:vertAlign w:val="subscript"/>
              </w:rPr>
              <w:t>ST</w:t>
            </w:r>
            <w:proofErr w:type="spellEnd"/>
          </w:p>
        </w:tc>
        <w:tc>
          <w:tcPr>
            <w:tcW w:w="0" w:type="auto"/>
            <w:shd w:val="clear" w:color="auto" w:fill="auto"/>
            <w:hideMark/>
          </w:tcPr>
          <w:p w14:paraId="3BB21EE5" w14:textId="77777777" w:rsidR="003071C5" w:rsidRPr="00267C17" w:rsidRDefault="003071C5" w:rsidP="008F0694">
            <w:pPr>
              <w:spacing w:after="0" w:line="360" w:lineRule="auto"/>
              <w:jc w:val="center"/>
              <w:rPr>
                <w:rFonts w:ascii="Times New Roman" w:eastAsia="Times New Roman" w:hAnsi="Times New Roman" w:cs="Times New Roman"/>
              </w:rPr>
            </w:pPr>
            <w:r w:rsidRPr="00267C17">
              <w:rPr>
                <w:rFonts w:ascii="Times New Roman" w:eastAsia="Times New Roman" w:hAnsi="Times New Roman" w:cs="Times New Roman"/>
              </w:rPr>
              <w:t>2.2 </w:t>
            </w:r>
            <w:proofErr w:type="spellStart"/>
            <w:r w:rsidRPr="00267C17">
              <w:rPr>
                <w:rFonts w:ascii="Times New Roman" w:eastAsia="Times New Roman" w:hAnsi="Times New Roman" w:cs="Times New Roman"/>
              </w:rPr>
              <w:t>μm</w:t>
            </w:r>
            <w:proofErr w:type="spellEnd"/>
          </w:p>
        </w:tc>
        <w:tc>
          <w:tcPr>
            <w:tcW w:w="2023" w:type="dxa"/>
          </w:tcPr>
          <w:p w14:paraId="3B581168" w14:textId="77777777" w:rsidR="003071C5" w:rsidRPr="00267C17" w:rsidRDefault="003071C5" w:rsidP="008F0694">
            <w:pPr>
              <w:spacing w:after="0" w:line="360" w:lineRule="auto"/>
              <w:jc w:val="center"/>
              <w:rPr>
                <w:rFonts w:ascii="Times New Roman" w:eastAsia="Times New Roman" w:hAnsi="Times New Roman" w:cs="Times New Roman"/>
              </w:rPr>
            </w:pPr>
            <w:r w:rsidRPr="00267C17">
              <w:rPr>
                <w:rFonts w:ascii="Times New Roman" w:eastAsia="Times New Roman" w:hAnsi="Times New Roman" w:cs="Times New Roman"/>
              </w:rPr>
              <w:t>4.2 </w:t>
            </w:r>
            <w:proofErr w:type="spellStart"/>
            <w:r w:rsidRPr="00267C17">
              <w:rPr>
                <w:rFonts w:ascii="Times New Roman" w:eastAsia="Times New Roman" w:hAnsi="Times New Roman" w:cs="Times New Roman"/>
              </w:rPr>
              <w:t>μm</w:t>
            </w:r>
            <w:proofErr w:type="spellEnd"/>
          </w:p>
        </w:tc>
      </w:tr>
    </w:tbl>
    <w:p w14:paraId="02245968" w14:textId="77777777" w:rsidR="004101AD" w:rsidRPr="004101AD" w:rsidRDefault="004101AD" w:rsidP="00065E10">
      <w:pPr>
        <w:pStyle w:val="BodyText"/>
        <w:rPr>
          <w:lang w:val="de-DE"/>
        </w:rPr>
      </w:pPr>
    </w:p>
    <w:p w14:paraId="28EBD946" w14:textId="77777777" w:rsidR="00065E10" w:rsidRDefault="00065E10" w:rsidP="00065E10">
      <w:pPr>
        <w:pStyle w:val="BodyText"/>
        <w:rPr>
          <w:lang w:val="de-DE"/>
        </w:rPr>
      </w:pPr>
    </w:p>
    <w:p w14:paraId="32B97EB4" w14:textId="2FBB7872" w:rsidR="00161271" w:rsidRPr="00173308" w:rsidRDefault="00173308" w:rsidP="00755D3F">
      <w:pPr>
        <w:pStyle w:val="Caption"/>
        <w:jc w:val="center"/>
      </w:pPr>
      <w:proofErr w:type="spellStart"/>
      <w:r>
        <w:t>TableS</w:t>
      </w:r>
      <w:proofErr w:type="spellEnd"/>
      <w:r>
        <w:t xml:space="preserve"> </w:t>
      </w:r>
      <w:r>
        <w:fldChar w:fldCharType="begin"/>
      </w:r>
      <w:r>
        <w:instrText xml:space="preserve"> SEQ TableS \* ARABIC </w:instrText>
      </w:r>
      <w:r>
        <w:fldChar w:fldCharType="separate"/>
      </w:r>
      <w:r w:rsidR="00755D3F">
        <w:rPr>
          <w:noProof/>
        </w:rPr>
        <w:t>4</w:t>
      </w:r>
      <w:r>
        <w:fldChar w:fldCharType="end"/>
      </w:r>
      <w:r w:rsidRPr="00173308">
        <w:t xml:space="preserve">Time-resolved fractional conversion values for wollastonite carbonation at different reaction temperatures. The table reports the calculated conversion X as a function of carbonation time for experiments conducted at </w:t>
      </w:r>
      <w:r>
        <w:t>(</w:t>
      </w:r>
      <w:r w:rsidRPr="00173308">
        <w:t xml:space="preserve">25, 45, 60, 75, and </w:t>
      </w:r>
      <w:proofErr w:type="gramStart"/>
      <w:r w:rsidRPr="00173308">
        <w:t>90</w:t>
      </w:r>
      <w:r>
        <w:t>)</w:t>
      </w:r>
      <w:r w:rsidRPr="00173308">
        <w:t>°</w:t>
      </w:r>
      <w:proofErr w:type="gramEnd"/>
      <w:r w:rsidRPr="00173308">
        <w:t>C</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268"/>
        <w:gridCol w:w="1220"/>
        <w:gridCol w:w="1220"/>
        <w:gridCol w:w="1220"/>
        <w:gridCol w:w="1220"/>
        <w:gridCol w:w="1220"/>
      </w:tblGrid>
      <w:tr w:rsidR="00161271" w:rsidRPr="00161271" w14:paraId="76A1FD1B" w14:textId="77777777" w:rsidTr="00161271">
        <w:trPr>
          <w:tblHeader/>
          <w:jc w:val="center"/>
        </w:trPr>
        <w:tc>
          <w:tcPr>
            <w:tcW w:w="0" w:type="auto"/>
            <w:tcMar>
              <w:top w:w="120" w:type="dxa"/>
              <w:left w:w="120" w:type="dxa"/>
              <w:bottom w:w="120" w:type="dxa"/>
              <w:right w:w="120" w:type="dxa"/>
            </w:tcMar>
            <w:vAlign w:val="center"/>
            <w:hideMark/>
          </w:tcPr>
          <w:p w14:paraId="40E2F1D7" w14:textId="77777777" w:rsidR="00161271" w:rsidRPr="00161271" w:rsidRDefault="00161271" w:rsidP="00161271">
            <w:pPr>
              <w:pStyle w:val="BodyText"/>
              <w:rPr>
                <w:b/>
                <w:bCs/>
              </w:rPr>
            </w:pPr>
            <w:proofErr w:type="spellStart"/>
            <w:r w:rsidRPr="00161271">
              <w:rPr>
                <w:b/>
                <w:bCs/>
              </w:rPr>
              <w:t>time_min</w:t>
            </w:r>
            <w:proofErr w:type="spellEnd"/>
          </w:p>
        </w:tc>
        <w:tc>
          <w:tcPr>
            <w:tcW w:w="0" w:type="auto"/>
            <w:tcMar>
              <w:top w:w="120" w:type="dxa"/>
              <w:left w:w="120" w:type="dxa"/>
              <w:bottom w:w="120" w:type="dxa"/>
              <w:right w:w="120" w:type="dxa"/>
            </w:tcMar>
            <w:vAlign w:val="center"/>
            <w:hideMark/>
          </w:tcPr>
          <w:p w14:paraId="5D6499FF" w14:textId="77777777" w:rsidR="00161271" w:rsidRPr="00161271" w:rsidRDefault="00161271" w:rsidP="00161271">
            <w:pPr>
              <w:pStyle w:val="BodyText"/>
              <w:rPr>
                <w:b/>
                <w:bCs/>
              </w:rPr>
            </w:pPr>
            <w:r w:rsidRPr="00161271">
              <w:rPr>
                <w:b/>
                <w:bCs/>
              </w:rPr>
              <w:t>X_25C</w:t>
            </w:r>
          </w:p>
        </w:tc>
        <w:tc>
          <w:tcPr>
            <w:tcW w:w="0" w:type="auto"/>
            <w:tcMar>
              <w:top w:w="120" w:type="dxa"/>
              <w:left w:w="120" w:type="dxa"/>
              <w:bottom w:w="120" w:type="dxa"/>
              <w:right w:w="120" w:type="dxa"/>
            </w:tcMar>
            <w:vAlign w:val="center"/>
            <w:hideMark/>
          </w:tcPr>
          <w:p w14:paraId="7774C41E" w14:textId="77777777" w:rsidR="00161271" w:rsidRPr="00161271" w:rsidRDefault="00161271" w:rsidP="00161271">
            <w:pPr>
              <w:pStyle w:val="BodyText"/>
              <w:rPr>
                <w:b/>
                <w:bCs/>
              </w:rPr>
            </w:pPr>
            <w:r w:rsidRPr="00161271">
              <w:rPr>
                <w:b/>
                <w:bCs/>
              </w:rPr>
              <w:t>X_45C</w:t>
            </w:r>
          </w:p>
        </w:tc>
        <w:tc>
          <w:tcPr>
            <w:tcW w:w="0" w:type="auto"/>
            <w:tcMar>
              <w:top w:w="120" w:type="dxa"/>
              <w:left w:w="120" w:type="dxa"/>
              <w:bottom w:w="120" w:type="dxa"/>
              <w:right w:w="120" w:type="dxa"/>
            </w:tcMar>
            <w:vAlign w:val="center"/>
            <w:hideMark/>
          </w:tcPr>
          <w:p w14:paraId="5594B619" w14:textId="77777777" w:rsidR="00161271" w:rsidRPr="00161271" w:rsidRDefault="00161271" w:rsidP="00161271">
            <w:pPr>
              <w:pStyle w:val="BodyText"/>
              <w:rPr>
                <w:b/>
                <w:bCs/>
              </w:rPr>
            </w:pPr>
            <w:r w:rsidRPr="00161271">
              <w:rPr>
                <w:b/>
                <w:bCs/>
              </w:rPr>
              <w:t>X_60C</w:t>
            </w:r>
          </w:p>
        </w:tc>
        <w:tc>
          <w:tcPr>
            <w:tcW w:w="0" w:type="auto"/>
            <w:tcMar>
              <w:top w:w="120" w:type="dxa"/>
              <w:left w:w="120" w:type="dxa"/>
              <w:bottom w:w="120" w:type="dxa"/>
              <w:right w:w="120" w:type="dxa"/>
            </w:tcMar>
            <w:vAlign w:val="center"/>
            <w:hideMark/>
          </w:tcPr>
          <w:p w14:paraId="451AB905" w14:textId="77777777" w:rsidR="00161271" w:rsidRPr="00161271" w:rsidRDefault="00161271" w:rsidP="00161271">
            <w:pPr>
              <w:pStyle w:val="BodyText"/>
              <w:rPr>
                <w:b/>
                <w:bCs/>
              </w:rPr>
            </w:pPr>
            <w:r w:rsidRPr="00161271">
              <w:rPr>
                <w:b/>
                <w:bCs/>
              </w:rPr>
              <w:t>X_75C</w:t>
            </w:r>
          </w:p>
        </w:tc>
        <w:tc>
          <w:tcPr>
            <w:tcW w:w="0" w:type="auto"/>
            <w:tcMar>
              <w:top w:w="120" w:type="dxa"/>
              <w:left w:w="120" w:type="dxa"/>
              <w:bottom w:w="120" w:type="dxa"/>
              <w:right w:w="120" w:type="dxa"/>
            </w:tcMar>
            <w:vAlign w:val="center"/>
            <w:hideMark/>
          </w:tcPr>
          <w:p w14:paraId="2D38C9C9" w14:textId="77777777" w:rsidR="00161271" w:rsidRPr="00161271" w:rsidRDefault="00161271" w:rsidP="00161271">
            <w:pPr>
              <w:pStyle w:val="BodyText"/>
              <w:rPr>
                <w:b/>
                <w:bCs/>
              </w:rPr>
            </w:pPr>
            <w:r w:rsidRPr="00161271">
              <w:rPr>
                <w:b/>
                <w:bCs/>
              </w:rPr>
              <w:t>X_90C</w:t>
            </w:r>
          </w:p>
        </w:tc>
      </w:tr>
      <w:tr w:rsidR="00161271" w:rsidRPr="00161271" w14:paraId="3739C08B" w14:textId="77777777" w:rsidTr="00161271">
        <w:trPr>
          <w:jc w:val="center"/>
        </w:trPr>
        <w:tc>
          <w:tcPr>
            <w:tcW w:w="0" w:type="auto"/>
            <w:tcMar>
              <w:top w:w="120" w:type="dxa"/>
              <w:left w:w="120" w:type="dxa"/>
              <w:bottom w:w="120" w:type="dxa"/>
              <w:right w:w="120" w:type="dxa"/>
            </w:tcMar>
            <w:vAlign w:val="center"/>
            <w:hideMark/>
          </w:tcPr>
          <w:p w14:paraId="77D427B3" w14:textId="77777777" w:rsidR="00161271" w:rsidRPr="00161271" w:rsidRDefault="00161271" w:rsidP="00161271">
            <w:pPr>
              <w:pStyle w:val="BodyText"/>
            </w:pPr>
            <w:r w:rsidRPr="00161271">
              <w:t>5</w:t>
            </w:r>
          </w:p>
        </w:tc>
        <w:tc>
          <w:tcPr>
            <w:tcW w:w="0" w:type="auto"/>
            <w:tcMar>
              <w:top w:w="120" w:type="dxa"/>
              <w:left w:w="120" w:type="dxa"/>
              <w:bottom w:w="120" w:type="dxa"/>
              <w:right w:w="120" w:type="dxa"/>
            </w:tcMar>
            <w:vAlign w:val="center"/>
            <w:hideMark/>
          </w:tcPr>
          <w:p w14:paraId="2103EEDF" w14:textId="77777777" w:rsidR="00161271" w:rsidRPr="00161271" w:rsidRDefault="00161271" w:rsidP="00161271">
            <w:pPr>
              <w:pStyle w:val="BodyText"/>
            </w:pPr>
            <w:r w:rsidRPr="00161271">
              <w:t>0.043341</w:t>
            </w:r>
          </w:p>
        </w:tc>
        <w:tc>
          <w:tcPr>
            <w:tcW w:w="0" w:type="auto"/>
            <w:tcMar>
              <w:top w:w="120" w:type="dxa"/>
              <w:left w:w="120" w:type="dxa"/>
              <w:bottom w:w="120" w:type="dxa"/>
              <w:right w:w="120" w:type="dxa"/>
            </w:tcMar>
            <w:vAlign w:val="center"/>
            <w:hideMark/>
          </w:tcPr>
          <w:p w14:paraId="2EEFA9C5" w14:textId="77777777" w:rsidR="00161271" w:rsidRPr="00161271" w:rsidRDefault="00161271" w:rsidP="00161271">
            <w:pPr>
              <w:pStyle w:val="BodyText"/>
            </w:pPr>
            <w:r w:rsidRPr="00161271">
              <w:t>0.056129</w:t>
            </w:r>
          </w:p>
        </w:tc>
        <w:tc>
          <w:tcPr>
            <w:tcW w:w="0" w:type="auto"/>
            <w:tcMar>
              <w:top w:w="120" w:type="dxa"/>
              <w:left w:w="120" w:type="dxa"/>
              <w:bottom w:w="120" w:type="dxa"/>
              <w:right w:w="120" w:type="dxa"/>
            </w:tcMar>
            <w:vAlign w:val="center"/>
            <w:hideMark/>
          </w:tcPr>
          <w:p w14:paraId="3B50AC5B" w14:textId="77777777" w:rsidR="00161271" w:rsidRPr="00161271" w:rsidRDefault="00161271" w:rsidP="00161271">
            <w:pPr>
              <w:pStyle w:val="BodyText"/>
            </w:pPr>
            <w:r w:rsidRPr="00161271">
              <w:t>0.058942</w:t>
            </w:r>
          </w:p>
        </w:tc>
        <w:tc>
          <w:tcPr>
            <w:tcW w:w="0" w:type="auto"/>
            <w:tcMar>
              <w:top w:w="120" w:type="dxa"/>
              <w:left w:w="120" w:type="dxa"/>
              <w:bottom w:w="120" w:type="dxa"/>
              <w:right w:w="120" w:type="dxa"/>
            </w:tcMar>
            <w:vAlign w:val="center"/>
            <w:hideMark/>
          </w:tcPr>
          <w:p w14:paraId="20F0E4F8" w14:textId="77777777" w:rsidR="00161271" w:rsidRPr="00161271" w:rsidRDefault="00161271" w:rsidP="00161271">
            <w:pPr>
              <w:pStyle w:val="BodyText"/>
            </w:pPr>
            <w:r w:rsidRPr="00161271">
              <w:t>0.057090</w:t>
            </w:r>
          </w:p>
        </w:tc>
        <w:tc>
          <w:tcPr>
            <w:tcW w:w="0" w:type="auto"/>
            <w:tcMar>
              <w:top w:w="120" w:type="dxa"/>
              <w:left w:w="120" w:type="dxa"/>
              <w:bottom w:w="120" w:type="dxa"/>
              <w:right w:w="120" w:type="dxa"/>
            </w:tcMar>
            <w:vAlign w:val="center"/>
            <w:hideMark/>
          </w:tcPr>
          <w:p w14:paraId="548CC3A0" w14:textId="77777777" w:rsidR="00161271" w:rsidRPr="00161271" w:rsidRDefault="00161271" w:rsidP="00161271">
            <w:pPr>
              <w:pStyle w:val="BodyText"/>
            </w:pPr>
            <w:r w:rsidRPr="00161271">
              <w:t>0.032017</w:t>
            </w:r>
          </w:p>
        </w:tc>
      </w:tr>
      <w:tr w:rsidR="00161271" w:rsidRPr="00161271" w14:paraId="12F1378B" w14:textId="77777777" w:rsidTr="00161271">
        <w:trPr>
          <w:jc w:val="center"/>
        </w:trPr>
        <w:tc>
          <w:tcPr>
            <w:tcW w:w="0" w:type="auto"/>
            <w:tcMar>
              <w:top w:w="120" w:type="dxa"/>
              <w:left w:w="120" w:type="dxa"/>
              <w:bottom w:w="120" w:type="dxa"/>
              <w:right w:w="120" w:type="dxa"/>
            </w:tcMar>
            <w:vAlign w:val="center"/>
            <w:hideMark/>
          </w:tcPr>
          <w:p w14:paraId="35D44452" w14:textId="77777777" w:rsidR="00161271" w:rsidRPr="00161271" w:rsidRDefault="00161271" w:rsidP="00161271">
            <w:pPr>
              <w:pStyle w:val="BodyText"/>
            </w:pPr>
            <w:r w:rsidRPr="00161271">
              <w:t>10</w:t>
            </w:r>
          </w:p>
        </w:tc>
        <w:tc>
          <w:tcPr>
            <w:tcW w:w="0" w:type="auto"/>
            <w:tcMar>
              <w:top w:w="120" w:type="dxa"/>
              <w:left w:w="120" w:type="dxa"/>
              <w:bottom w:w="120" w:type="dxa"/>
              <w:right w:w="120" w:type="dxa"/>
            </w:tcMar>
            <w:vAlign w:val="center"/>
            <w:hideMark/>
          </w:tcPr>
          <w:p w14:paraId="2B4DC4D3" w14:textId="77777777" w:rsidR="00161271" w:rsidRPr="00161271" w:rsidRDefault="00161271" w:rsidP="00161271">
            <w:pPr>
              <w:pStyle w:val="BodyText"/>
            </w:pPr>
            <w:r w:rsidRPr="00161271">
              <w:t>0.051269</w:t>
            </w:r>
          </w:p>
        </w:tc>
        <w:tc>
          <w:tcPr>
            <w:tcW w:w="0" w:type="auto"/>
            <w:tcMar>
              <w:top w:w="120" w:type="dxa"/>
              <w:left w:w="120" w:type="dxa"/>
              <w:bottom w:w="120" w:type="dxa"/>
              <w:right w:w="120" w:type="dxa"/>
            </w:tcMar>
            <w:vAlign w:val="center"/>
            <w:hideMark/>
          </w:tcPr>
          <w:p w14:paraId="61848D9F" w14:textId="77777777" w:rsidR="00161271" w:rsidRPr="00161271" w:rsidRDefault="00161271" w:rsidP="00161271">
            <w:pPr>
              <w:pStyle w:val="BodyText"/>
            </w:pPr>
            <w:r w:rsidRPr="00161271">
              <w:t>0.072583</w:t>
            </w:r>
          </w:p>
        </w:tc>
        <w:tc>
          <w:tcPr>
            <w:tcW w:w="0" w:type="auto"/>
            <w:tcMar>
              <w:top w:w="120" w:type="dxa"/>
              <w:left w:w="120" w:type="dxa"/>
              <w:bottom w:w="120" w:type="dxa"/>
              <w:right w:w="120" w:type="dxa"/>
            </w:tcMar>
            <w:vAlign w:val="center"/>
            <w:hideMark/>
          </w:tcPr>
          <w:p w14:paraId="3539E4BB" w14:textId="77777777" w:rsidR="00161271" w:rsidRPr="00161271" w:rsidRDefault="00161271" w:rsidP="00161271">
            <w:pPr>
              <w:pStyle w:val="BodyText"/>
            </w:pPr>
            <w:r w:rsidRPr="00161271">
              <w:t>0.083102</w:t>
            </w:r>
          </w:p>
        </w:tc>
        <w:tc>
          <w:tcPr>
            <w:tcW w:w="0" w:type="auto"/>
            <w:tcMar>
              <w:top w:w="120" w:type="dxa"/>
              <w:left w:w="120" w:type="dxa"/>
              <w:bottom w:w="120" w:type="dxa"/>
              <w:right w:w="120" w:type="dxa"/>
            </w:tcMar>
            <w:vAlign w:val="center"/>
            <w:hideMark/>
          </w:tcPr>
          <w:p w14:paraId="090896DB" w14:textId="77777777" w:rsidR="00161271" w:rsidRPr="00161271" w:rsidRDefault="00161271" w:rsidP="00161271">
            <w:pPr>
              <w:pStyle w:val="BodyText"/>
            </w:pPr>
            <w:r w:rsidRPr="00161271">
              <w:t>0.095925</w:t>
            </w:r>
          </w:p>
        </w:tc>
        <w:tc>
          <w:tcPr>
            <w:tcW w:w="0" w:type="auto"/>
            <w:tcMar>
              <w:top w:w="120" w:type="dxa"/>
              <w:left w:w="120" w:type="dxa"/>
              <w:bottom w:w="120" w:type="dxa"/>
              <w:right w:w="120" w:type="dxa"/>
            </w:tcMar>
            <w:vAlign w:val="center"/>
            <w:hideMark/>
          </w:tcPr>
          <w:p w14:paraId="298FF686" w14:textId="77777777" w:rsidR="00161271" w:rsidRPr="00161271" w:rsidRDefault="00161271" w:rsidP="00161271">
            <w:pPr>
              <w:pStyle w:val="BodyText"/>
            </w:pPr>
            <w:r w:rsidRPr="00161271">
              <w:t>0.045657</w:t>
            </w:r>
          </w:p>
        </w:tc>
      </w:tr>
      <w:tr w:rsidR="00161271" w:rsidRPr="00161271" w14:paraId="034A14E2" w14:textId="77777777" w:rsidTr="00161271">
        <w:trPr>
          <w:jc w:val="center"/>
        </w:trPr>
        <w:tc>
          <w:tcPr>
            <w:tcW w:w="0" w:type="auto"/>
            <w:tcMar>
              <w:top w:w="120" w:type="dxa"/>
              <w:left w:w="120" w:type="dxa"/>
              <w:bottom w:w="120" w:type="dxa"/>
              <w:right w:w="120" w:type="dxa"/>
            </w:tcMar>
            <w:vAlign w:val="center"/>
            <w:hideMark/>
          </w:tcPr>
          <w:p w14:paraId="6DFF00E9" w14:textId="77777777" w:rsidR="00161271" w:rsidRPr="00161271" w:rsidRDefault="00161271" w:rsidP="00161271">
            <w:pPr>
              <w:pStyle w:val="BodyText"/>
            </w:pPr>
            <w:r w:rsidRPr="00161271">
              <w:t>15</w:t>
            </w:r>
          </w:p>
        </w:tc>
        <w:tc>
          <w:tcPr>
            <w:tcW w:w="0" w:type="auto"/>
            <w:tcMar>
              <w:top w:w="120" w:type="dxa"/>
              <w:left w:w="120" w:type="dxa"/>
              <w:bottom w:w="120" w:type="dxa"/>
              <w:right w:w="120" w:type="dxa"/>
            </w:tcMar>
            <w:vAlign w:val="center"/>
            <w:hideMark/>
          </w:tcPr>
          <w:p w14:paraId="6AD2E96C" w14:textId="77777777" w:rsidR="00161271" w:rsidRPr="00161271" w:rsidRDefault="00161271" w:rsidP="00161271">
            <w:pPr>
              <w:pStyle w:val="BodyText"/>
            </w:pPr>
            <w:r w:rsidRPr="00161271">
              <w:t>0.058912</w:t>
            </w:r>
          </w:p>
        </w:tc>
        <w:tc>
          <w:tcPr>
            <w:tcW w:w="0" w:type="auto"/>
            <w:tcMar>
              <w:top w:w="120" w:type="dxa"/>
              <w:left w:w="120" w:type="dxa"/>
              <w:bottom w:w="120" w:type="dxa"/>
              <w:right w:w="120" w:type="dxa"/>
            </w:tcMar>
            <w:vAlign w:val="center"/>
            <w:hideMark/>
          </w:tcPr>
          <w:p w14:paraId="3851BAF6" w14:textId="77777777" w:rsidR="00161271" w:rsidRPr="00161271" w:rsidRDefault="00161271" w:rsidP="00161271">
            <w:pPr>
              <w:pStyle w:val="BodyText"/>
            </w:pPr>
            <w:r w:rsidRPr="00161271">
              <w:t>0.089848</w:t>
            </w:r>
          </w:p>
        </w:tc>
        <w:tc>
          <w:tcPr>
            <w:tcW w:w="0" w:type="auto"/>
            <w:tcMar>
              <w:top w:w="120" w:type="dxa"/>
              <w:left w:w="120" w:type="dxa"/>
              <w:bottom w:w="120" w:type="dxa"/>
              <w:right w:w="120" w:type="dxa"/>
            </w:tcMar>
            <w:vAlign w:val="center"/>
            <w:hideMark/>
          </w:tcPr>
          <w:p w14:paraId="327E4A68" w14:textId="77777777" w:rsidR="00161271" w:rsidRPr="00161271" w:rsidRDefault="00161271" w:rsidP="00161271">
            <w:pPr>
              <w:pStyle w:val="BodyText"/>
            </w:pPr>
            <w:r w:rsidRPr="00161271">
              <w:t>0.101484</w:t>
            </w:r>
          </w:p>
        </w:tc>
        <w:tc>
          <w:tcPr>
            <w:tcW w:w="0" w:type="auto"/>
            <w:tcMar>
              <w:top w:w="120" w:type="dxa"/>
              <w:left w:w="120" w:type="dxa"/>
              <w:bottom w:w="120" w:type="dxa"/>
              <w:right w:w="120" w:type="dxa"/>
            </w:tcMar>
            <w:vAlign w:val="center"/>
            <w:hideMark/>
          </w:tcPr>
          <w:p w14:paraId="31F945DC" w14:textId="77777777" w:rsidR="00161271" w:rsidRPr="00161271" w:rsidRDefault="00161271" w:rsidP="00161271">
            <w:pPr>
              <w:pStyle w:val="BodyText"/>
            </w:pPr>
            <w:r w:rsidRPr="00161271">
              <w:t>0.128422</w:t>
            </w:r>
          </w:p>
        </w:tc>
        <w:tc>
          <w:tcPr>
            <w:tcW w:w="0" w:type="auto"/>
            <w:tcMar>
              <w:top w:w="120" w:type="dxa"/>
              <w:left w:w="120" w:type="dxa"/>
              <w:bottom w:w="120" w:type="dxa"/>
              <w:right w:w="120" w:type="dxa"/>
            </w:tcMar>
            <w:vAlign w:val="center"/>
            <w:hideMark/>
          </w:tcPr>
          <w:p w14:paraId="42F9C6BD" w14:textId="77777777" w:rsidR="00161271" w:rsidRPr="00161271" w:rsidRDefault="00161271" w:rsidP="00161271">
            <w:pPr>
              <w:pStyle w:val="BodyText"/>
            </w:pPr>
            <w:r w:rsidRPr="00161271">
              <w:t>0.080522</w:t>
            </w:r>
          </w:p>
        </w:tc>
      </w:tr>
      <w:tr w:rsidR="00161271" w:rsidRPr="00161271" w14:paraId="6BEC585D" w14:textId="77777777" w:rsidTr="00161271">
        <w:trPr>
          <w:jc w:val="center"/>
        </w:trPr>
        <w:tc>
          <w:tcPr>
            <w:tcW w:w="0" w:type="auto"/>
            <w:tcMar>
              <w:top w:w="120" w:type="dxa"/>
              <w:left w:w="120" w:type="dxa"/>
              <w:bottom w:w="120" w:type="dxa"/>
              <w:right w:w="120" w:type="dxa"/>
            </w:tcMar>
            <w:vAlign w:val="center"/>
            <w:hideMark/>
          </w:tcPr>
          <w:p w14:paraId="1772D594" w14:textId="77777777" w:rsidR="00161271" w:rsidRPr="00161271" w:rsidRDefault="00161271" w:rsidP="00161271">
            <w:pPr>
              <w:pStyle w:val="BodyText"/>
            </w:pPr>
            <w:r w:rsidRPr="00161271">
              <w:lastRenderedPageBreak/>
              <w:t>20</w:t>
            </w:r>
          </w:p>
        </w:tc>
        <w:tc>
          <w:tcPr>
            <w:tcW w:w="0" w:type="auto"/>
            <w:tcMar>
              <w:top w:w="120" w:type="dxa"/>
              <w:left w:w="120" w:type="dxa"/>
              <w:bottom w:w="120" w:type="dxa"/>
              <w:right w:w="120" w:type="dxa"/>
            </w:tcMar>
            <w:vAlign w:val="center"/>
            <w:hideMark/>
          </w:tcPr>
          <w:p w14:paraId="2B7857E6" w14:textId="77777777" w:rsidR="00161271" w:rsidRPr="00161271" w:rsidRDefault="00161271" w:rsidP="00161271">
            <w:pPr>
              <w:pStyle w:val="BodyText"/>
            </w:pPr>
            <w:r w:rsidRPr="00161271">
              <w:t>0.061579</w:t>
            </w:r>
          </w:p>
        </w:tc>
        <w:tc>
          <w:tcPr>
            <w:tcW w:w="0" w:type="auto"/>
            <w:tcMar>
              <w:top w:w="120" w:type="dxa"/>
              <w:left w:w="120" w:type="dxa"/>
              <w:bottom w:w="120" w:type="dxa"/>
              <w:right w:w="120" w:type="dxa"/>
            </w:tcMar>
            <w:vAlign w:val="center"/>
            <w:hideMark/>
          </w:tcPr>
          <w:p w14:paraId="42D0D0D2" w14:textId="77777777" w:rsidR="00161271" w:rsidRPr="00161271" w:rsidRDefault="00161271" w:rsidP="00161271">
            <w:pPr>
              <w:pStyle w:val="BodyText"/>
            </w:pPr>
            <w:r w:rsidRPr="00161271">
              <w:t>0.101103</w:t>
            </w:r>
          </w:p>
        </w:tc>
        <w:tc>
          <w:tcPr>
            <w:tcW w:w="0" w:type="auto"/>
            <w:tcMar>
              <w:top w:w="120" w:type="dxa"/>
              <w:left w:w="120" w:type="dxa"/>
              <w:bottom w:w="120" w:type="dxa"/>
              <w:right w:w="120" w:type="dxa"/>
            </w:tcMar>
            <w:vAlign w:val="center"/>
            <w:hideMark/>
          </w:tcPr>
          <w:p w14:paraId="5FE7DFF4" w14:textId="77777777" w:rsidR="00161271" w:rsidRPr="00161271" w:rsidRDefault="00161271" w:rsidP="00161271">
            <w:pPr>
              <w:pStyle w:val="BodyText"/>
            </w:pPr>
            <w:r w:rsidRPr="00161271">
              <w:t>0.128261</w:t>
            </w:r>
          </w:p>
        </w:tc>
        <w:tc>
          <w:tcPr>
            <w:tcW w:w="0" w:type="auto"/>
            <w:tcMar>
              <w:top w:w="120" w:type="dxa"/>
              <w:left w:w="120" w:type="dxa"/>
              <w:bottom w:w="120" w:type="dxa"/>
              <w:right w:w="120" w:type="dxa"/>
            </w:tcMar>
            <w:vAlign w:val="center"/>
            <w:hideMark/>
          </w:tcPr>
          <w:p w14:paraId="5D878169" w14:textId="77777777" w:rsidR="00161271" w:rsidRPr="00161271" w:rsidRDefault="00161271" w:rsidP="00161271">
            <w:pPr>
              <w:pStyle w:val="BodyText"/>
            </w:pPr>
            <w:r w:rsidRPr="00161271">
              <w:t>0.154090</w:t>
            </w:r>
          </w:p>
        </w:tc>
        <w:tc>
          <w:tcPr>
            <w:tcW w:w="0" w:type="auto"/>
            <w:tcMar>
              <w:top w:w="120" w:type="dxa"/>
              <w:left w:w="120" w:type="dxa"/>
              <w:bottom w:w="120" w:type="dxa"/>
              <w:right w:w="120" w:type="dxa"/>
            </w:tcMar>
            <w:vAlign w:val="center"/>
            <w:hideMark/>
          </w:tcPr>
          <w:p w14:paraId="327C76F5" w14:textId="77777777" w:rsidR="00161271" w:rsidRPr="00161271" w:rsidRDefault="00161271" w:rsidP="00161271">
            <w:pPr>
              <w:pStyle w:val="BodyText"/>
            </w:pPr>
            <w:r w:rsidRPr="00161271">
              <w:t>0.101834</w:t>
            </w:r>
          </w:p>
        </w:tc>
      </w:tr>
      <w:tr w:rsidR="00161271" w:rsidRPr="00161271" w14:paraId="65A6EF3A" w14:textId="77777777" w:rsidTr="00161271">
        <w:trPr>
          <w:jc w:val="center"/>
        </w:trPr>
        <w:tc>
          <w:tcPr>
            <w:tcW w:w="0" w:type="auto"/>
            <w:tcMar>
              <w:top w:w="120" w:type="dxa"/>
              <w:left w:w="120" w:type="dxa"/>
              <w:bottom w:w="120" w:type="dxa"/>
              <w:right w:w="120" w:type="dxa"/>
            </w:tcMar>
            <w:vAlign w:val="center"/>
            <w:hideMark/>
          </w:tcPr>
          <w:p w14:paraId="50F0F56B" w14:textId="77777777" w:rsidR="00161271" w:rsidRPr="00161271" w:rsidRDefault="00161271" w:rsidP="00161271">
            <w:pPr>
              <w:pStyle w:val="BodyText"/>
            </w:pPr>
            <w:r w:rsidRPr="00161271">
              <w:t>30</w:t>
            </w:r>
          </w:p>
        </w:tc>
        <w:tc>
          <w:tcPr>
            <w:tcW w:w="0" w:type="auto"/>
            <w:tcMar>
              <w:top w:w="120" w:type="dxa"/>
              <w:left w:w="120" w:type="dxa"/>
              <w:bottom w:w="120" w:type="dxa"/>
              <w:right w:w="120" w:type="dxa"/>
            </w:tcMar>
            <w:vAlign w:val="center"/>
            <w:hideMark/>
          </w:tcPr>
          <w:p w14:paraId="4703E8BB" w14:textId="77777777" w:rsidR="00161271" w:rsidRPr="00161271" w:rsidRDefault="00161271" w:rsidP="00161271">
            <w:pPr>
              <w:pStyle w:val="BodyText"/>
            </w:pPr>
            <w:r w:rsidRPr="00161271">
              <w:t>0.063951</w:t>
            </w:r>
          </w:p>
        </w:tc>
        <w:tc>
          <w:tcPr>
            <w:tcW w:w="0" w:type="auto"/>
            <w:tcMar>
              <w:top w:w="120" w:type="dxa"/>
              <w:left w:w="120" w:type="dxa"/>
              <w:bottom w:w="120" w:type="dxa"/>
              <w:right w:w="120" w:type="dxa"/>
            </w:tcMar>
            <w:vAlign w:val="center"/>
            <w:hideMark/>
          </w:tcPr>
          <w:p w14:paraId="7C04261F" w14:textId="77777777" w:rsidR="00161271" w:rsidRPr="00161271" w:rsidRDefault="00161271" w:rsidP="00161271">
            <w:pPr>
              <w:pStyle w:val="BodyText"/>
            </w:pPr>
            <w:r w:rsidRPr="00161271">
              <w:t>0.120857</w:t>
            </w:r>
          </w:p>
        </w:tc>
        <w:tc>
          <w:tcPr>
            <w:tcW w:w="0" w:type="auto"/>
            <w:tcMar>
              <w:top w:w="120" w:type="dxa"/>
              <w:left w:w="120" w:type="dxa"/>
              <w:bottom w:w="120" w:type="dxa"/>
              <w:right w:w="120" w:type="dxa"/>
            </w:tcMar>
            <w:vAlign w:val="center"/>
            <w:hideMark/>
          </w:tcPr>
          <w:p w14:paraId="46376B72" w14:textId="77777777" w:rsidR="00161271" w:rsidRPr="00161271" w:rsidRDefault="00161271" w:rsidP="00161271">
            <w:pPr>
              <w:pStyle w:val="BodyText"/>
            </w:pPr>
            <w:r w:rsidRPr="00161271">
              <w:t>0.169194</w:t>
            </w:r>
          </w:p>
        </w:tc>
        <w:tc>
          <w:tcPr>
            <w:tcW w:w="0" w:type="auto"/>
            <w:tcMar>
              <w:top w:w="120" w:type="dxa"/>
              <w:left w:w="120" w:type="dxa"/>
              <w:bottom w:w="120" w:type="dxa"/>
              <w:right w:w="120" w:type="dxa"/>
            </w:tcMar>
            <w:vAlign w:val="center"/>
            <w:hideMark/>
          </w:tcPr>
          <w:p w14:paraId="5721DBBD" w14:textId="77777777" w:rsidR="00161271" w:rsidRPr="00161271" w:rsidRDefault="00161271" w:rsidP="00161271">
            <w:pPr>
              <w:pStyle w:val="BodyText"/>
            </w:pPr>
            <w:r w:rsidRPr="00161271">
              <w:t>0.205940</w:t>
            </w:r>
          </w:p>
        </w:tc>
        <w:tc>
          <w:tcPr>
            <w:tcW w:w="0" w:type="auto"/>
            <w:tcMar>
              <w:top w:w="120" w:type="dxa"/>
              <w:left w:w="120" w:type="dxa"/>
              <w:bottom w:w="120" w:type="dxa"/>
              <w:right w:w="120" w:type="dxa"/>
            </w:tcMar>
            <w:vAlign w:val="center"/>
            <w:hideMark/>
          </w:tcPr>
          <w:p w14:paraId="48F7CE02" w14:textId="77777777" w:rsidR="00161271" w:rsidRPr="00161271" w:rsidRDefault="00161271" w:rsidP="00161271">
            <w:pPr>
              <w:pStyle w:val="BodyText"/>
            </w:pPr>
            <w:r w:rsidRPr="00161271">
              <w:t>0.155221</w:t>
            </w:r>
          </w:p>
        </w:tc>
      </w:tr>
      <w:tr w:rsidR="00161271" w:rsidRPr="00161271" w14:paraId="31477BE2" w14:textId="77777777" w:rsidTr="00161271">
        <w:trPr>
          <w:jc w:val="center"/>
        </w:trPr>
        <w:tc>
          <w:tcPr>
            <w:tcW w:w="0" w:type="auto"/>
            <w:tcMar>
              <w:top w:w="120" w:type="dxa"/>
              <w:left w:w="120" w:type="dxa"/>
              <w:bottom w:w="120" w:type="dxa"/>
              <w:right w:w="120" w:type="dxa"/>
            </w:tcMar>
            <w:vAlign w:val="center"/>
            <w:hideMark/>
          </w:tcPr>
          <w:p w14:paraId="06A14730" w14:textId="77777777" w:rsidR="00161271" w:rsidRPr="00161271" w:rsidRDefault="00161271" w:rsidP="00161271">
            <w:pPr>
              <w:pStyle w:val="BodyText"/>
            </w:pPr>
            <w:r w:rsidRPr="00161271">
              <w:t>45</w:t>
            </w:r>
          </w:p>
        </w:tc>
        <w:tc>
          <w:tcPr>
            <w:tcW w:w="0" w:type="auto"/>
            <w:tcMar>
              <w:top w:w="120" w:type="dxa"/>
              <w:left w:w="120" w:type="dxa"/>
              <w:bottom w:w="120" w:type="dxa"/>
              <w:right w:w="120" w:type="dxa"/>
            </w:tcMar>
            <w:vAlign w:val="center"/>
            <w:hideMark/>
          </w:tcPr>
          <w:p w14:paraId="7434AE56" w14:textId="77777777" w:rsidR="00161271" w:rsidRPr="00161271" w:rsidRDefault="00161271" w:rsidP="00161271">
            <w:pPr>
              <w:pStyle w:val="BodyText"/>
            </w:pPr>
            <w:r w:rsidRPr="00161271">
              <w:t>0.075748</w:t>
            </w:r>
          </w:p>
        </w:tc>
        <w:tc>
          <w:tcPr>
            <w:tcW w:w="0" w:type="auto"/>
            <w:tcMar>
              <w:top w:w="120" w:type="dxa"/>
              <w:left w:w="120" w:type="dxa"/>
              <w:bottom w:w="120" w:type="dxa"/>
              <w:right w:w="120" w:type="dxa"/>
            </w:tcMar>
            <w:vAlign w:val="center"/>
            <w:hideMark/>
          </w:tcPr>
          <w:p w14:paraId="24111866" w14:textId="77777777" w:rsidR="00161271" w:rsidRPr="00161271" w:rsidRDefault="00161271" w:rsidP="00161271">
            <w:pPr>
              <w:pStyle w:val="BodyText"/>
            </w:pPr>
            <w:r w:rsidRPr="00161271">
              <w:t>0.153228</w:t>
            </w:r>
          </w:p>
        </w:tc>
        <w:tc>
          <w:tcPr>
            <w:tcW w:w="0" w:type="auto"/>
            <w:tcMar>
              <w:top w:w="120" w:type="dxa"/>
              <w:left w:w="120" w:type="dxa"/>
              <w:bottom w:w="120" w:type="dxa"/>
              <w:right w:w="120" w:type="dxa"/>
            </w:tcMar>
            <w:vAlign w:val="center"/>
            <w:hideMark/>
          </w:tcPr>
          <w:p w14:paraId="3EE1BDF9" w14:textId="77777777" w:rsidR="00161271" w:rsidRPr="00161271" w:rsidRDefault="00161271" w:rsidP="00161271">
            <w:pPr>
              <w:pStyle w:val="BodyText"/>
            </w:pPr>
            <w:r w:rsidRPr="00161271">
              <w:t>0.216349</w:t>
            </w:r>
          </w:p>
        </w:tc>
        <w:tc>
          <w:tcPr>
            <w:tcW w:w="0" w:type="auto"/>
            <w:tcMar>
              <w:top w:w="120" w:type="dxa"/>
              <w:left w:w="120" w:type="dxa"/>
              <w:bottom w:w="120" w:type="dxa"/>
              <w:right w:w="120" w:type="dxa"/>
            </w:tcMar>
            <w:vAlign w:val="center"/>
            <w:hideMark/>
          </w:tcPr>
          <w:p w14:paraId="7541C6C8" w14:textId="77777777" w:rsidR="00161271" w:rsidRPr="00161271" w:rsidRDefault="00161271" w:rsidP="00161271">
            <w:pPr>
              <w:pStyle w:val="BodyText"/>
            </w:pPr>
            <w:r w:rsidRPr="00161271">
              <w:t>0.261846</w:t>
            </w:r>
          </w:p>
        </w:tc>
        <w:tc>
          <w:tcPr>
            <w:tcW w:w="0" w:type="auto"/>
            <w:tcMar>
              <w:top w:w="120" w:type="dxa"/>
              <w:left w:w="120" w:type="dxa"/>
              <w:bottom w:w="120" w:type="dxa"/>
              <w:right w:w="120" w:type="dxa"/>
            </w:tcMar>
            <w:vAlign w:val="center"/>
            <w:hideMark/>
          </w:tcPr>
          <w:p w14:paraId="7773D1E0" w14:textId="77777777" w:rsidR="00161271" w:rsidRPr="00161271" w:rsidRDefault="00161271" w:rsidP="00161271">
            <w:pPr>
              <w:pStyle w:val="BodyText"/>
            </w:pPr>
            <w:r w:rsidRPr="00161271">
              <w:t>0.226481</w:t>
            </w:r>
          </w:p>
        </w:tc>
      </w:tr>
      <w:tr w:rsidR="00161271" w:rsidRPr="00161271" w14:paraId="0A475B73" w14:textId="77777777" w:rsidTr="00161271">
        <w:trPr>
          <w:jc w:val="center"/>
        </w:trPr>
        <w:tc>
          <w:tcPr>
            <w:tcW w:w="0" w:type="auto"/>
            <w:tcMar>
              <w:top w:w="120" w:type="dxa"/>
              <w:left w:w="120" w:type="dxa"/>
              <w:bottom w:w="120" w:type="dxa"/>
              <w:right w:w="120" w:type="dxa"/>
            </w:tcMar>
            <w:vAlign w:val="center"/>
            <w:hideMark/>
          </w:tcPr>
          <w:p w14:paraId="21F22EE3" w14:textId="77777777" w:rsidR="00161271" w:rsidRPr="00161271" w:rsidRDefault="00161271" w:rsidP="00161271">
            <w:pPr>
              <w:pStyle w:val="BodyText"/>
            </w:pPr>
            <w:r w:rsidRPr="00161271">
              <w:t>60</w:t>
            </w:r>
          </w:p>
        </w:tc>
        <w:tc>
          <w:tcPr>
            <w:tcW w:w="0" w:type="auto"/>
            <w:tcMar>
              <w:top w:w="120" w:type="dxa"/>
              <w:left w:w="120" w:type="dxa"/>
              <w:bottom w:w="120" w:type="dxa"/>
              <w:right w:w="120" w:type="dxa"/>
            </w:tcMar>
            <w:vAlign w:val="center"/>
            <w:hideMark/>
          </w:tcPr>
          <w:p w14:paraId="62FD7714" w14:textId="77777777" w:rsidR="00161271" w:rsidRPr="00161271" w:rsidRDefault="00161271" w:rsidP="00161271">
            <w:pPr>
              <w:pStyle w:val="BodyText"/>
            </w:pPr>
            <w:r w:rsidRPr="00161271">
              <w:t>0.086619</w:t>
            </w:r>
          </w:p>
        </w:tc>
        <w:tc>
          <w:tcPr>
            <w:tcW w:w="0" w:type="auto"/>
            <w:tcMar>
              <w:top w:w="120" w:type="dxa"/>
              <w:left w:w="120" w:type="dxa"/>
              <w:bottom w:w="120" w:type="dxa"/>
              <w:right w:w="120" w:type="dxa"/>
            </w:tcMar>
            <w:vAlign w:val="center"/>
            <w:hideMark/>
          </w:tcPr>
          <w:p w14:paraId="30CE3872" w14:textId="77777777" w:rsidR="00161271" w:rsidRPr="00161271" w:rsidRDefault="00161271" w:rsidP="00161271">
            <w:pPr>
              <w:pStyle w:val="BodyText"/>
            </w:pPr>
            <w:r w:rsidRPr="00161271">
              <w:t>0.185618</w:t>
            </w:r>
          </w:p>
        </w:tc>
        <w:tc>
          <w:tcPr>
            <w:tcW w:w="0" w:type="auto"/>
            <w:tcMar>
              <w:top w:w="120" w:type="dxa"/>
              <w:left w:w="120" w:type="dxa"/>
              <w:bottom w:w="120" w:type="dxa"/>
              <w:right w:w="120" w:type="dxa"/>
            </w:tcMar>
            <w:vAlign w:val="center"/>
            <w:hideMark/>
          </w:tcPr>
          <w:p w14:paraId="725842C1" w14:textId="77777777" w:rsidR="00161271" w:rsidRPr="00161271" w:rsidRDefault="00161271" w:rsidP="00161271">
            <w:pPr>
              <w:pStyle w:val="BodyText"/>
            </w:pPr>
            <w:r w:rsidRPr="00161271">
              <w:t>0.250666</w:t>
            </w:r>
          </w:p>
        </w:tc>
        <w:tc>
          <w:tcPr>
            <w:tcW w:w="0" w:type="auto"/>
            <w:tcMar>
              <w:top w:w="120" w:type="dxa"/>
              <w:left w:w="120" w:type="dxa"/>
              <w:bottom w:w="120" w:type="dxa"/>
              <w:right w:w="120" w:type="dxa"/>
            </w:tcMar>
            <w:vAlign w:val="center"/>
            <w:hideMark/>
          </w:tcPr>
          <w:p w14:paraId="3F05E20C" w14:textId="77777777" w:rsidR="00161271" w:rsidRPr="00161271" w:rsidRDefault="00161271" w:rsidP="00161271">
            <w:pPr>
              <w:pStyle w:val="BodyText"/>
            </w:pPr>
            <w:r w:rsidRPr="00161271">
              <w:t>0.309737</w:t>
            </w:r>
          </w:p>
        </w:tc>
        <w:tc>
          <w:tcPr>
            <w:tcW w:w="0" w:type="auto"/>
            <w:tcMar>
              <w:top w:w="120" w:type="dxa"/>
              <w:left w:w="120" w:type="dxa"/>
              <w:bottom w:w="120" w:type="dxa"/>
              <w:right w:w="120" w:type="dxa"/>
            </w:tcMar>
            <w:vAlign w:val="center"/>
            <w:hideMark/>
          </w:tcPr>
          <w:p w14:paraId="5FBDAA9E" w14:textId="77777777" w:rsidR="00161271" w:rsidRPr="00161271" w:rsidRDefault="00161271" w:rsidP="00161271">
            <w:pPr>
              <w:pStyle w:val="BodyText"/>
            </w:pPr>
            <w:r w:rsidRPr="00161271">
              <w:t>0.301375</w:t>
            </w:r>
          </w:p>
        </w:tc>
      </w:tr>
      <w:tr w:rsidR="00161271" w:rsidRPr="00161271" w14:paraId="7254D68C" w14:textId="77777777" w:rsidTr="00161271">
        <w:trPr>
          <w:jc w:val="center"/>
        </w:trPr>
        <w:tc>
          <w:tcPr>
            <w:tcW w:w="0" w:type="auto"/>
            <w:tcMar>
              <w:top w:w="120" w:type="dxa"/>
              <w:left w:w="120" w:type="dxa"/>
              <w:bottom w:w="120" w:type="dxa"/>
              <w:right w:w="120" w:type="dxa"/>
            </w:tcMar>
            <w:vAlign w:val="center"/>
            <w:hideMark/>
          </w:tcPr>
          <w:p w14:paraId="0B389A34" w14:textId="77777777" w:rsidR="00161271" w:rsidRPr="00161271" w:rsidRDefault="00161271" w:rsidP="00161271">
            <w:pPr>
              <w:pStyle w:val="BodyText"/>
            </w:pPr>
            <w:r w:rsidRPr="00161271">
              <w:t>75</w:t>
            </w:r>
          </w:p>
        </w:tc>
        <w:tc>
          <w:tcPr>
            <w:tcW w:w="0" w:type="auto"/>
            <w:tcMar>
              <w:top w:w="120" w:type="dxa"/>
              <w:left w:w="120" w:type="dxa"/>
              <w:bottom w:w="120" w:type="dxa"/>
              <w:right w:w="120" w:type="dxa"/>
            </w:tcMar>
            <w:vAlign w:val="center"/>
            <w:hideMark/>
          </w:tcPr>
          <w:p w14:paraId="15807311" w14:textId="77777777" w:rsidR="00161271" w:rsidRPr="00161271" w:rsidRDefault="00161271" w:rsidP="00161271">
            <w:pPr>
              <w:pStyle w:val="BodyText"/>
            </w:pPr>
            <w:r w:rsidRPr="00161271">
              <w:t>0.095742</w:t>
            </w:r>
          </w:p>
        </w:tc>
        <w:tc>
          <w:tcPr>
            <w:tcW w:w="0" w:type="auto"/>
            <w:tcMar>
              <w:top w:w="120" w:type="dxa"/>
              <w:left w:w="120" w:type="dxa"/>
              <w:bottom w:w="120" w:type="dxa"/>
              <w:right w:w="120" w:type="dxa"/>
            </w:tcMar>
            <w:vAlign w:val="center"/>
            <w:hideMark/>
          </w:tcPr>
          <w:p w14:paraId="7BCB1329" w14:textId="77777777" w:rsidR="00161271" w:rsidRPr="00161271" w:rsidRDefault="00161271" w:rsidP="00161271">
            <w:pPr>
              <w:pStyle w:val="BodyText"/>
            </w:pPr>
            <w:r w:rsidRPr="00161271">
              <w:t>0.209421</w:t>
            </w:r>
          </w:p>
        </w:tc>
        <w:tc>
          <w:tcPr>
            <w:tcW w:w="0" w:type="auto"/>
            <w:tcMar>
              <w:top w:w="120" w:type="dxa"/>
              <w:left w:w="120" w:type="dxa"/>
              <w:bottom w:w="120" w:type="dxa"/>
              <w:right w:w="120" w:type="dxa"/>
            </w:tcMar>
            <w:vAlign w:val="center"/>
            <w:hideMark/>
          </w:tcPr>
          <w:p w14:paraId="38AB10BE" w14:textId="77777777" w:rsidR="00161271" w:rsidRPr="00161271" w:rsidRDefault="00161271" w:rsidP="00161271">
            <w:pPr>
              <w:pStyle w:val="BodyText"/>
            </w:pPr>
            <w:r w:rsidRPr="00161271">
              <w:t>0.289397</w:t>
            </w:r>
          </w:p>
        </w:tc>
        <w:tc>
          <w:tcPr>
            <w:tcW w:w="0" w:type="auto"/>
            <w:tcMar>
              <w:top w:w="120" w:type="dxa"/>
              <w:left w:w="120" w:type="dxa"/>
              <w:bottom w:w="120" w:type="dxa"/>
              <w:right w:w="120" w:type="dxa"/>
            </w:tcMar>
            <w:vAlign w:val="center"/>
            <w:hideMark/>
          </w:tcPr>
          <w:p w14:paraId="15AE24D0" w14:textId="77777777" w:rsidR="00161271" w:rsidRPr="00161271" w:rsidRDefault="00161271" w:rsidP="00161271">
            <w:pPr>
              <w:pStyle w:val="BodyText"/>
            </w:pPr>
            <w:r w:rsidRPr="00161271">
              <w:t>0.364050</w:t>
            </w:r>
          </w:p>
        </w:tc>
        <w:tc>
          <w:tcPr>
            <w:tcW w:w="0" w:type="auto"/>
            <w:tcMar>
              <w:top w:w="120" w:type="dxa"/>
              <w:left w:w="120" w:type="dxa"/>
              <w:bottom w:w="120" w:type="dxa"/>
              <w:right w:w="120" w:type="dxa"/>
            </w:tcMar>
            <w:vAlign w:val="center"/>
            <w:hideMark/>
          </w:tcPr>
          <w:p w14:paraId="54C70698" w14:textId="77777777" w:rsidR="00161271" w:rsidRPr="00161271" w:rsidRDefault="00161271" w:rsidP="00161271">
            <w:pPr>
              <w:pStyle w:val="BodyText"/>
            </w:pPr>
            <w:r w:rsidRPr="00161271">
              <w:t>0.346319</w:t>
            </w:r>
          </w:p>
        </w:tc>
      </w:tr>
      <w:tr w:rsidR="00161271" w:rsidRPr="00161271" w14:paraId="2F0C3927" w14:textId="77777777" w:rsidTr="00161271">
        <w:trPr>
          <w:jc w:val="center"/>
        </w:trPr>
        <w:tc>
          <w:tcPr>
            <w:tcW w:w="0" w:type="auto"/>
            <w:tcMar>
              <w:top w:w="120" w:type="dxa"/>
              <w:left w:w="120" w:type="dxa"/>
              <w:bottom w:w="120" w:type="dxa"/>
              <w:right w:w="120" w:type="dxa"/>
            </w:tcMar>
            <w:vAlign w:val="center"/>
            <w:hideMark/>
          </w:tcPr>
          <w:p w14:paraId="11FB8FDF" w14:textId="77777777" w:rsidR="00161271" w:rsidRPr="00161271" w:rsidRDefault="00161271" w:rsidP="00161271">
            <w:pPr>
              <w:pStyle w:val="BodyText"/>
            </w:pPr>
            <w:r w:rsidRPr="00161271">
              <w:t>90</w:t>
            </w:r>
          </w:p>
        </w:tc>
        <w:tc>
          <w:tcPr>
            <w:tcW w:w="0" w:type="auto"/>
            <w:tcMar>
              <w:top w:w="120" w:type="dxa"/>
              <w:left w:w="120" w:type="dxa"/>
              <w:bottom w:w="120" w:type="dxa"/>
              <w:right w:w="120" w:type="dxa"/>
            </w:tcMar>
            <w:vAlign w:val="center"/>
            <w:hideMark/>
          </w:tcPr>
          <w:p w14:paraId="7ACB12E8" w14:textId="77777777" w:rsidR="00161271" w:rsidRPr="00161271" w:rsidRDefault="00161271" w:rsidP="00161271">
            <w:pPr>
              <w:pStyle w:val="BodyText"/>
            </w:pPr>
            <w:r w:rsidRPr="00161271">
              <w:t>0.102369</w:t>
            </w:r>
          </w:p>
        </w:tc>
        <w:tc>
          <w:tcPr>
            <w:tcW w:w="0" w:type="auto"/>
            <w:tcMar>
              <w:top w:w="120" w:type="dxa"/>
              <w:left w:w="120" w:type="dxa"/>
              <w:bottom w:w="120" w:type="dxa"/>
              <w:right w:w="120" w:type="dxa"/>
            </w:tcMar>
            <w:vAlign w:val="center"/>
            <w:hideMark/>
          </w:tcPr>
          <w:p w14:paraId="5BA157A0" w14:textId="77777777" w:rsidR="00161271" w:rsidRPr="00161271" w:rsidRDefault="00161271" w:rsidP="00161271">
            <w:pPr>
              <w:pStyle w:val="BodyText"/>
            </w:pPr>
            <w:r w:rsidRPr="00161271">
              <w:t>0.238705</w:t>
            </w:r>
          </w:p>
        </w:tc>
        <w:tc>
          <w:tcPr>
            <w:tcW w:w="0" w:type="auto"/>
            <w:tcMar>
              <w:top w:w="120" w:type="dxa"/>
              <w:left w:w="120" w:type="dxa"/>
              <w:bottom w:w="120" w:type="dxa"/>
              <w:right w:w="120" w:type="dxa"/>
            </w:tcMar>
            <w:vAlign w:val="center"/>
            <w:hideMark/>
          </w:tcPr>
          <w:p w14:paraId="57AB6D04" w14:textId="77777777" w:rsidR="00161271" w:rsidRPr="00161271" w:rsidRDefault="00161271" w:rsidP="00161271">
            <w:pPr>
              <w:pStyle w:val="BodyText"/>
            </w:pPr>
            <w:r w:rsidRPr="00161271">
              <w:t>0.320954</w:t>
            </w:r>
          </w:p>
        </w:tc>
        <w:tc>
          <w:tcPr>
            <w:tcW w:w="0" w:type="auto"/>
            <w:tcMar>
              <w:top w:w="120" w:type="dxa"/>
              <w:left w:w="120" w:type="dxa"/>
              <w:bottom w:w="120" w:type="dxa"/>
              <w:right w:w="120" w:type="dxa"/>
            </w:tcMar>
            <w:vAlign w:val="center"/>
            <w:hideMark/>
          </w:tcPr>
          <w:p w14:paraId="66820EC3" w14:textId="77777777" w:rsidR="00161271" w:rsidRPr="00161271" w:rsidRDefault="00161271" w:rsidP="00161271">
            <w:pPr>
              <w:pStyle w:val="BodyText"/>
            </w:pPr>
            <w:r w:rsidRPr="00161271">
              <w:t>0.408463</w:t>
            </w:r>
          </w:p>
        </w:tc>
        <w:tc>
          <w:tcPr>
            <w:tcW w:w="0" w:type="auto"/>
            <w:tcMar>
              <w:top w:w="120" w:type="dxa"/>
              <w:left w:w="120" w:type="dxa"/>
              <w:bottom w:w="120" w:type="dxa"/>
              <w:right w:w="120" w:type="dxa"/>
            </w:tcMar>
            <w:vAlign w:val="center"/>
            <w:hideMark/>
          </w:tcPr>
          <w:p w14:paraId="267D46A7" w14:textId="77777777" w:rsidR="00161271" w:rsidRPr="00161271" w:rsidRDefault="00161271" w:rsidP="00161271">
            <w:pPr>
              <w:pStyle w:val="BodyText"/>
            </w:pPr>
            <w:r w:rsidRPr="00161271">
              <w:t>0.389315</w:t>
            </w:r>
          </w:p>
        </w:tc>
      </w:tr>
      <w:tr w:rsidR="00161271" w:rsidRPr="00161271" w14:paraId="46FA9649" w14:textId="77777777" w:rsidTr="00161271">
        <w:trPr>
          <w:jc w:val="center"/>
        </w:trPr>
        <w:tc>
          <w:tcPr>
            <w:tcW w:w="0" w:type="auto"/>
            <w:tcMar>
              <w:top w:w="120" w:type="dxa"/>
              <w:left w:w="120" w:type="dxa"/>
              <w:bottom w:w="120" w:type="dxa"/>
              <w:right w:w="120" w:type="dxa"/>
            </w:tcMar>
            <w:vAlign w:val="center"/>
            <w:hideMark/>
          </w:tcPr>
          <w:p w14:paraId="350E481B" w14:textId="77777777" w:rsidR="00161271" w:rsidRPr="00161271" w:rsidRDefault="00161271" w:rsidP="00161271">
            <w:pPr>
              <w:pStyle w:val="BodyText"/>
            </w:pPr>
            <w:r w:rsidRPr="00161271">
              <w:t>120</w:t>
            </w:r>
          </w:p>
        </w:tc>
        <w:tc>
          <w:tcPr>
            <w:tcW w:w="0" w:type="auto"/>
            <w:tcMar>
              <w:top w:w="120" w:type="dxa"/>
              <w:left w:w="120" w:type="dxa"/>
              <w:bottom w:w="120" w:type="dxa"/>
              <w:right w:w="120" w:type="dxa"/>
            </w:tcMar>
            <w:vAlign w:val="center"/>
            <w:hideMark/>
          </w:tcPr>
          <w:p w14:paraId="7FF10A59" w14:textId="77777777" w:rsidR="00161271" w:rsidRPr="00161271" w:rsidRDefault="00161271" w:rsidP="00161271">
            <w:pPr>
              <w:pStyle w:val="BodyText"/>
            </w:pPr>
            <w:r w:rsidRPr="00161271">
              <w:t>0.108997</w:t>
            </w:r>
          </w:p>
        </w:tc>
        <w:tc>
          <w:tcPr>
            <w:tcW w:w="0" w:type="auto"/>
            <w:tcMar>
              <w:top w:w="120" w:type="dxa"/>
              <w:left w:w="120" w:type="dxa"/>
              <w:bottom w:w="120" w:type="dxa"/>
              <w:right w:w="120" w:type="dxa"/>
            </w:tcMar>
            <w:vAlign w:val="center"/>
            <w:hideMark/>
          </w:tcPr>
          <w:p w14:paraId="5D2707AB" w14:textId="77777777" w:rsidR="00161271" w:rsidRPr="00161271" w:rsidRDefault="00161271" w:rsidP="00161271">
            <w:pPr>
              <w:pStyle w:val="BodyText"/>
            </w:pPr>
            <w:r w:rsidRPr="00161271">
              <w:t>0.275583</w:t>
            </w:r>
          </w:p>
        </w:tc>
        <w:tc>
          <w:tcPr>
            <w:tcW w:w="0" w:type="auto"/>
            <w:tcMar>
              <w:top w:w="120" w:type="dxa"/>
              <w:left w:w="120" w:type="dxa"/>
              <w:bottom w:w="120" w:type="dxa"/>
              <w:right w:w="120" w:type="dxa"/>
            </w:tcMar>
            <w:vAlign w:val="center"/>
            <w:hideMark/>
          </w:tcPr>
          <w:p w14:paraId="3D5E1765" w14:textId="77777777" w:rsidR="00161271" w:rsidRPr="00161271" w:rsidRDefault="00161271" w:rsidP="00161271">
            <w:pPr>
              <w:pStyle w:val="BodyText"/>
            </w:pPr>
            <w:r w:rsidRPr="00161271">
              <w:t>0.384117</w:t>
            </w:r>
          </w:p>
        </w:tc>
        <w:tc>
          <w:tcPr>
            <w:tcW w:w="0" w:type="auto"/>
            <w:tcMar>
              <w:top w:w="120" w:type="dxa"/>
              <w:left w:w="120" w:type="dxa"/>
              <w:bottom w:w="120" w:type="dxa"/>
              <w:right w:w="120" w:type="dxa"/>
            </w:tcMar>
            <w:vAlign w:val="center"/>
            <w:hideMark/>
          </w:tcPr>
          <w:p w14:paraId="5DB44339" w14:textId="77777777" w:rsidR="00161271" w:rsidRPr="00161271" w:rsidRDefault="00161271" w:rsidP="00161271">
            <w:pPr>
              <w:pStyle w:val="BodyText"/>
            </w:pPr>
            <w:r w:rsidRPr="00161271">
              <w:t>0.485447</w:t>
            </w:r>
          </w:p>
        </w:tc>
        <w:tc>
          <w:tcPr>
            <w:tcW w:w="0" w:type="auto"/>
            <w:tcMar>
              <w:top w:w="120" w:type="dxa"/>
              <w:left w:w="120" w:type="dxa"/>
              <w:bottom w:w="120" w:type="dxa"/>
              <w:right w:w="120" w:type="dxa"/>
            </w:tcMar>
            <w:vAlign w:val="center"/>
            <w:hideMark/>
          </w:tcPr>
          <w:p w14:paraId="6783D120" w14:textId="77777777" w:rsidR="00161271" w:rsidRPr="00161271" w:rsidRDefault="00161271" w:rsidP="00161271">
            <w:pPr>
              <w:pStyle w:val="BodyText"/>
            </w:pPr>
            <w:r w:rsidRPr="00161271">
              <w:t>0.491529</w:t>
            </w:r>
          </w:p>
        </w:tc>
      </w:tr>
      <w:tr w:rsidR="00161271" w:rsidRPr="00161271" w14:paraId="32AEB15C" w14:textId="77777777" w:rsidTr="00161271">
        <w:trPr>
          <w:jc w:val="center"/>
        </w:trPr>
        <w:tc>
          <w:tcPr>
            <w:tcW w:w="0" w:type="auto"/>
            <w:tcMar>
              <w:top w:w="120" w:type="dxa"/>
              <w:left w:w="120" w:type="dxa"/>
              <w:bottom w:w="120" w:type="dxa"/>
              <w:right w:w="120" w:type="dxa"/>
            </w:tcMar>
            <w:vAlign w:val="center"/>
            <w:hideMark/>
          </w:tcPr>
          <w:p w14:paraId="20837FBC" w14:textId="77777777" w:rsidR="00161271" w:rsidRPr="00161271" w:rsidRDefault="00161271" w:rsidP="00161271">
            <w:pPr>
              <w:pStyle w:val="BodyText"/>
            </w:pPr>
            <w:r w:rsidRPr="00161271">
              <w:t>150</w:t>
            </w:r>
          </w:p>
        </w:tc>
        <w:tc>
          <w:tcPr>
            <w:tcW w:w="0" w:type="auto"/>
            <w:tcMar>
              <w:top w:w="120" w:type="dxa"/>
              <w:left w:w="120" w:type="dxa"/>
              <w:bottom w:w="120" w:type="dxa"/>
              <w:right w:w="120" w:type="dxa"/>
            </w:tcMar>
            <w:vAlign w:val="center"/>
            <w:hideMark/>
          </w:tcPr>
          <w:p w14:paraId="6FC80A43" w14:textId="77777777" w:rsidR="00161271" w:rsidRPr="00161271" w:rsidRDefault="00161271" w:rsidP="00161271">
            <w:pPr>
              <w:pStyle w:val="BodyText"/>
            </w:pPr>
            <w:r w:rsidRPr="00161271">
              <w:t>0.124176</w:t>
            </w:r>
          </w:p>
        </w:tc>
        <w:tc>
          <w:tcPr>
            <w:tcW w:w="0" w:type="auto"/>
            <w:tcMar>
              <w:top w:w="120" w:type="dxa"/>
              <w:left w:w="120" w:type="dxa"/>
              <w:bottom w:w="120" w:type="dxa"/>
              <w:right w:w="120" w:type="dxa"/>
            </w:tcMar>
            <w:vAlign w:val="center"/>
            <w:hideMark/>
          </w:tcPr>
          <w:p w14:paraId="683EAAAB" w14:textId="77777777" w:rsidR="00161271" w:rsidRPr="00161271" w:rsidRDefault="00161271" w:rsidP="00161271">
            <w:pPr>
              <w:pStyle w:val="BodyText"/>
            </w:pPr>
            <w:r w:rsidRPr="00161271">
              <w:t>0.310424</w:t>
            </w:r>
          </w:p>
        </w:tc>
        <w:tc>
          <w:tcPr>
            <w:tcW w:w="0" w:type="auto"/>
            <w:tcMar>
              <w:top w:w="120" w:type="dxa"/>
              <w:left w:w="120" w:type="dxa"/>
              <w:bottom w:w="120" w:type="dxa"/>
              <w:right w:w="120" w:type="dxa"/>
            </w:tcMar>
            <w:vAlign w:val="center"/>
            <w:hideMark/>
          </w:tcPr>
          <w:p w14:paraId="4726458D" w14:textId="77777777" w:rsidR="00161271" w:rsidRPr="00161271" w:rsidRDefault="00161271" w:rsidP="00161271">
            <w:pPr>
              <w:pStyle w:val="BodyText"/>
            </w:pPr>
            <w:r w:rsidRPr="00161271">
              <w:t>0.428329</w:t>
            </w:r>
          </w:p>
        </w:tc>
        <w:tc>
          <w:tcPr>
            <w:tcW w:w="0" w:type="auto"/>
            <w:tcMar>
              <w:top w:w="120" w:type="dxa"/>
              <w:left w:w="120" w:type="dxa"/>
              <w:bottom w:w="120" w:type="dxa"/>
              <w:right w:w="120" w:type="dxa"/>
            </w:tcMar>
            <w:vAlign w:val="center"/>
            <w:hideMark/>
          </w:tcPr>
          <w:p w14:paraId="22470D7D" w14:textId="77777777" w:rsidR="00161271" w:rsidRPr="00161271" w:rsidRDefault="00161271" w:rsidP="00161271">
            <w:pPr>
              <w:pStyle w:val="BodyText"/>
            </w:pPr>
            <w:r w:rsidRPr="00161271">
              <w:t>0.536270</w:t>
            </w:r>
          </w:p>
        </w:tc>
        <w:tc>
          <w:tcPr>
            <w:tcW w:w="0" w:type="auto"/>
            <w:tcMar>
              <w:top w:w="120" w:type="dxa"/>
              <w:left w:w="120" w:type="dxa"/>
              <w:bottom w:w="120" w:type="dxa"/>
              <w:right w:w="120" w:type="dxa"/>
            </w:tcMar>
            <w:vAlign w:val="center"/>
            <w:hideMark/>
          </w:tcPr>
          <w:p w14:paraId="1ADD3108" w14:textId="77777777" w:rsidR="00161271" w:rsidRPr="00161271" w:rsidRDefault="00161271" w:rsidP="00161271">
            <w:pPr>
              <w:pStyle w:val="BodyText"/>
            </w:pPr>
            <w:r w:rsidRPr="00161271">
              <w:t>0.560442</w:t>
            </w:r>
          </w:p>
        </w:tc>
      </w:tr>
      <w:tr w:rsidR="00161271" w:rsidRPr="00161271" w14:paraId="6F568E53" w14:textId="77777777" w:rsidTr="00161271">
        <w:trPr>
          <w:jc w:val="center"/>
        </w:trPr>
        <w:tc>
          <w:tcPr>
            <w:tcW w:w="0" w:type="auto"/>
            <w:tcMar>
              <w:top w:w="120" w:type="dxa"/>
              <w:left w:w="120" w:type="dxa"/>
              <w:bottom w:w="120" w:type="dxa"/>
              <w:right w:w="120" w:type="dxa"/>
            </w:tcMar>
            <w:vAlign w:val="center"/>
            <w:hideMark/>
          </w:tcPr>
          <w:p w14:paraId="3A1F93C6" w14:textId="77777777" w:rsidR="00161271" w:rsidRPr="00161271" w:rsidRDefault="00161271" w:rsidP="00161271">
            <w:pPr>
              <w:pStyle w:val="BodyText"/>
            </w:pPr>
            <w:r w:rsidRPr="00161271">
              <w:t>180</w:t>
            </w:r>
          </w:p>
        </w:tc>
        <w:tc>
          <w:tcPr>
            <w:tcW w:w="0" w:type="auto"/>
            <w:tcMar>
              <w:top w:w="120" w:type="dxa"/>
              <w:left w:w="120" w:type="dxa"/>
              <w:bottom w:w="120" w:type="dxa"/>
              <w:right w:w="120" w:type="dxa"/>
            </w:tcMar>
            <w:vAlign w:val="center"/>
            <w:hideMark/>
          </w:tcPr>
          <w:p w14:paraId="6874D730" w14:textId="77777777" w:rsidR="00161271" w:rsidRPr="00161271" w:rsidRDefault="00161271" w:rsidP="00161271">
            <w:pPr>
              <w:pStyle w:val="BodyText"/>
            </w:pPr>
            <w:r w:rsidRPr="00161271">
              <w:t>0.133521</w:t>
            </w:r>
          </w:p>
        </w:tc>
        <w:tc>
          <w:tcPr>
            <w:tcW w:w="0" w:type="auto"/>
            <w:tcMar>
              <w:top w:w="120" w:type="dxa"/>
              <w:left w:w="120" w:type="dxa"/>
              <w:bottom w:w="120" w:type="dxa"/>
              <w:right w:w="120" w:type="dxa"/>
            </w:tcMar>
            <w:vAlign w:val="center"/>
            <w:hideMark/>
          </w:tcPr>
          <w:p w14:paraId="6570387B" w14:textId="77777777" w:rsidR="00161271" w:rsidRPr="00161271" w:rsidRDefault="00161271" w:rsidP="00161271">
            <w:pPr>
              <w:pStyle w:val="BodyText"/>
            </w:pPr>
            <w:r w:rsidRPr="00161271">
              <w:t>0.332808</w:t>
            </w:r>
          </w:p>
        </w:tc>
        <w:tc>
          <w:tcPr>
            <w:tcW w:w="0" w:type="auto"/>
            <w:tcMar>
              <w:top w:w="120" w:type="dxa"/>
              <w:left w:w="120" w:type="dxa"/>
              <w:bottom w:w="120" w:type="dxa"/>
              <w:right w:w="120" w:type="dxa"/>
            </w:tcMar>
            <w:vAlign w:val="center"/>
            <w:hideMark/>
          </w:tcPr>
          <w:p w14:paraId="1D33C40B" w14:textId="77777777" w:rsidR="00161271" w:rsidRPr="00161271" w:rsidRDefault="00161271" w:rsidP="00161271">
            <w:pPr>
              <w:pStyle w:val="BodyText"/>
            </w:pPr>
            <w:r w:rsidRPr="00161271">
              <w:t>0.454231</w:t>
            </w:r>
          </w:p>
        </w:tc>
        <w:tc>
          <w:tcPr>
            <w:tcW w:w="0" w:type="auto"/>
            <w:tcMar>
              <w:top w:w="120" w:type="dxa"/>
              <w:left w:w="120" w:type="dxa"/>
              <w:bottom w:w="120" w:type="dxa"/>
              <w:right w:w="120" w:type="dxa"/>
            </w:tcMar>
            <w:vAlign w:val="center"/>
            <w:hideMark/>
          </w:tcPr>
          <w:p w14:paraId="65F4890D" w14:textId="77777777" w:rsidR="00161271" w:rsidRPr="00161271" w:rsidRDefault="00161271" w:rsidP="00161271">
            <w:pPr>
              <w:pStyle w:val="BodyText"/>
            </w:pPr>
            <w:r w:rsidRPr="00161271">
              <w:t>0.573774</w:t>
            </w:r>
          </w:p>
        </w:tc>
        <w:tc>
          <w:tcPr>
            <w:tcW w:w="0" w:type="auto"/>
            <w:tcMar>
              <w:top w:w="120" w:type="dxa"/>
              <w:left w:w="120" w:type="dxa"/>
              <w:bottom w:w="120" w:type="dxa"/>
              <w:right w:w="120" w:type="dxa"/>
            </w:tcMar>
            <w:vAlign w:val="center"/>
            <w:hideMark/>
          </w:tcPr>
          <w:p w14:paraId="713A9442" w14:textId="77777777" w:rsidR="00161271" w:rsidRPr="00161271" w:rsidRDefault="00161271" w:rsidP="00161271">
            <w:pPr>
              <w:pStyle w:val="BodyText"/>
            </w:pPr>
            <w:r w:rsidRPr="00161271">
              <w:t>0.618824</w:t>
            </w:r>
          </w:p>
        </w:tc>
      </w:tr>
    </w:tbl>
    <w:p w14:paraId="293301FD" w14:textId="77777777" w:rsidR="00161271" w:rsidRDefault="00161271" w:rsidP="00065E10">
      <w:pPr>
        <w:pStyle w:val="BodyText"/>
        <w:rPr>
          <w:lang w:val="de-DE"/>
        </w:rPr>
      </w:pPr>
    </w:p>
    <w:p w14:paraId="6AA86A5F" w14:textId="77777777" w:rsidR="00161271" w:rsidRDefault="00161271" w:rsidP="00065E10">
      <w:pPr>
        <w:pStyle w:val="BodyText"/>
        <w:rPr>
          <w:lang w:val="de-DE"/>
        </w:rPr>
      </w:pPr>
    </w:p>
    <w:p w14:paraId="6B0279BA" w14:textId="77777777" w:rsidR="00161271" w:rsidRPr="004101AD" w:rsidRDefault="00161271" w:rsidP="00065E10">
      <w:pPr>
        <w:pStyle w:val="BodyText"/>
        <w:rPr>
          <w:lang w:val="de-DE"/>
        </w:rPr>
      </w:pPr>
    </w:p>
    <w:p w14:paraId="37AF88BA" w14:textId="774A51EE" w:rsidR="007F5AEA" w:rsidRPr="00267C17" w:rsidRDefault="00E71B70" w:rsidP="00173308">
      <w:pPr>
        <w:pStyle w:val="Caption"/>
        <w:jc w:val="center"/>
      </w:pPr>
      <w:bookmarkStart w:id="22" w:name="_Ref231540361"/>
      <w:proofErr w:type="spellStart"/>
      <w:r>
        <w:t>TableS</w:t>
      </w:r>
      <w:proofErr w:type="spellEnd"/>
      <w:r>
        <w:t xml:space="preserve"> </w:t>
      </w:r>
      <w:r>
        <w:fldChar w:fldCharType="begin"/>
      </w:r>
      <w:r>
        <w:instrText xml:space="preserve"> SEQ TableS \* ARABIC </w:instrText>
      </w:r>
      <w:r>
        <w:fldChar w:fldCharType="separate"/>
      </w:r>
      <w:r w:rsidR="00755D3F">
        <w:rPr>
          <w:noProof/>
        </w:rPr>
        <w:t>5</w:t>
      </w:r>
      <w:r>
        <w:fldChar w:fldCharType="end"/>
      </w:r>
      <w:bookmarkEnd w:id="22"/>
      <w:r w:rsidR="0073580D">
        <w:t xml:space="preserve"> </w:t>
      </w:r>
      <w:r w:rsidR="00173308" w:rsidRPr="00173308">
        <w:t xml:space="preserve">Kinetic parameters and fitting statistics obtained from the linearized </w:t>
      </w:r>
      <w:proofErr w:type="spellStart"/>
      <w:r w:rsidR="00173308" w:rsidRPr="00173308">
        <w:t>Avrami</w:t>
      </w:r>
      <w:proofErr w:type="spellEnd"/>
      <w:r w:rsidR="00173308" w:rsidRPr="00173308">
        <w:t xml:space="preserve">, SCM surface-reaction, and SCM diffusion models at different carbonation temperatures. The table includes the fitted rate constants, </w:t>
      </w:r>
      <w:proofErr w:type="spellStart"/>
      <w:r w:rsidR="00173308" w:rsidRPr="00173308">
        <w:t>Avrami</w:t>
      </w:r>
      <w:proofErr w:type="spellEnd"/>
      <w:r w:rsidR="00173308" w:rsidRPr="00173308">
        <w:t xml:space="preserve"> exponent n, corrected </w:t>
      </w:r>
      <w:proofErr w:type="spellStart"/>
      <w:r w:rsidR="00173308" w:rsidRPr="00173308">
        <w:t>Avrami</w:t>
      </w:r>
      <w:proofErr w:type="spellEnd"/>
      <w:r w:rsidR="00173308" w:rsidRPr="00173308">
        <w:t xml:space="preserve"> rate constant </w:t>
      </w:r>
      <w:r w:rsidR="00755D3F">
        <w:t>Ka</w:t>
      </w:r>
      <w:r w:rsidR="00755D3F" w:rsidRPr="00755D3F">
        <w:rPr>
          <w:vertAlign w:val="superscript"/>
        </w:rPr>
        <w:t>1/n</w:t>
      </w:r>
      <w:r w:rsidR="00173308" w:rsidRPr="00173308">
        <w:t>, and goodness-of-fit metrics (R</w:t>
      </w:r>
      <w:r w:rsidR="00173308" w:rsidRPr="00755D3F">
        <w:rPr>
          <w:vertAlign w:val="superscript"/>
        </w:rPr>
        <w:t>2</w:t>
      </w:r>
      <w:r w:rsidR="00173308" w:rsidRPr="00173308">
        <w:t>, RSS, and RMSE) used for Arrhenius analysis</w:t>
      </w:r>
      <w:r w:rsidR="007F5AEA" w:rsidRPr="00267C17">
        <w:t>.</w:t>
      </w:r>
    </w:p>
    <w:p w14:paraId="641D05FC" w14:textId="77777777" w:rsidR="007F5AEA" w:rsidRPr="00267C17" w:rsidRDefault="007F5AEA" w:rsidP="007F5AEA">
      <w:pPr>
        <w:pStyle w:val="Caption"/>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492"/>
        <w:gridCol w:w="1087"/>
        <w:gridCol w:w="1087"/>
        <w:gridCol w:w="1087"/>
        <w:gridCol w:w="1087"/>
        <w:gridCol w:w="1087"/>
      </w:tblGrid>
      <w:tr w:rsidR="00482FEA" w:rsidRPr="00482FEA" w14:paraId="56827CF5" w14:textId="77777777" w:rsidTr="00161271">
        <w:trPr>
          <w:tblHeader/>
          <w:jc w:val="center"/>
        </w:trPr>
        <w:tc>
          <w:tcPr>
            <w:tcW w:w="0" w:type="auto"/>
            <w:shd w:val="clear" w:color="auto" w:fill="FFFFFF"/>
            <w:tcMar>
              <w:top w:w="120" w:type="dxa"/>
              <w:left w:w="120" w:type="dxa"/>
              <w:bottom w:w="120" w:type="dxa"/>
              <w:right w:w="120" w:type="dxa"/>
            </w:tcMar>
            <w:vAlign w:val="center"/>
            <w:hideMark/>
          </w:tcPr>
          <w:p w14:paraId="7654A8BD" w14:textId="77777777" w:rsidR="00482FEA" w:rsidRPr="00482FEA" w:rsidRDefault="00482FEA" w:rsidP="00482FEA">
            <w:pPr>
              <w:pStyle w:val="BodyText"/>
              <w:rPr>
                <w:b/>
                <w:bCs/>
              </w:rPr>
            </w:pPr>
            <w:proofErr w:type="spellStart"/>
            <w:r w:rsidRPr="00482FEA">
              <w:rPr>
                <w:b/>
                <w:bCs/>
              </w:rPr>
              <w:lastRenderedPageBreak/>
              <w:t>Temperature_C</w:t>
            </w:r>
            <w:proofErr w:type="spellEnd"/>
          </w:p>
        </w:tc>
        <w:tc>
          <w:tcPr>
            <w:tcW w:w="0" w:type="auto"/>
            <w:shd w:val="clear" w:color="auto" w:fill="FFFFFF"/>
            <w:tcMar>
              <w:top w:w="120" w:type="dxa"/>
              <w:left w:w="120" w:type="dxa"/>
              <w:bottom w:w="120" w:type="dxa"/>
              <w:right w:w="120" w:type="dxa"/>
            </w:tcMar>
            <w:vAlign w:val="center"/>
            <w:hideMark/>
          </w:tcPr>
          <w:p w14:paraId="28DA5612" w14:textId="77777777" w:rsidR="00482FEA" w:rsidRPr="00482FEA" w:rsidRDefault="00482FEA" w:rsidP="00482FEA">
            <w:pPr>
              <w:pStyle w:val="BodyText"/>
              <w:rPr>
                <w:b/>
                <w:bCs/>
              </w:rPr>
            </w:pPr>
            <w:r w:rsidRPr="00482FEA">
              <w:rPr>
                <w:b/>
                <w:bCs/>
              </w:rPr>
              <w:t>25.0</w:t>
            </w:r>
          </w:p>
        </w:tc>
        <w:tc>
          <w:tcPr>
            <w:tcW w:w="0" w:type="auto"/>
            <w:shd w:val="clear" w:color="auto" w:fill="FFFFFF"/>
            <w:tcMar>
              <w:top w:w="120" w:type="dxa"/>
              <w:left w:w="120" w:type="dxa"/>
              <w:bottom w:w="120" w:type="dxa"/>
              <w:right w:w="120" w:type="dxa"/>
            </w:tcMar>
            <w:vAlign w:val="center"/>
            <w:hideMark/>
          </w:tcPr>
          <w:p w14:paraId="5B24AA4F" w14:textId="77777777" w:rsidR="00482FEA" w:rsidRPr="00482FEA" w:rsidRDefault="00482FEA" w:rsidP="00482FEA">
            <w:pPr>
              <w:pStyle w:val="BodyText"/>
              <w:rPr>
                <w:b/>
                <w:bCs/>
              </w:rPr>
            </w:pPr>
            <w:r w:rsidRPr="00482FEA">
              <w:rPr>
                <w:b/>
                <w:bCs/>
              </w:rPr>
              <w:t>45.0</w:t>
            </w:r>
          </w:p>
        </w:tc>
        <w:tc>
          <w:tcPr>
            <w:tcW w:w="0" w:type="auto"/>
            <w:shd w:val="clear" w:color="auto" w:fill="FFFFFF"/>
            <w:tcMar>
              <w:top w:w="120" w:type="dxa"/>
              <w:left w:w="120" w:type="dxa"/>
              <w:bottom w:w="120" w:type="dxa"/>
              <w:right w:w="120" w:type="dxa"/>
            </w:tcMar>
            <w:vAlign w:val="center"/>
            <w:hideMark/>
          </w:tcPr>
          <w:p w14:paraId="28A67443" w14:textId="77777777" w:rsidR="00482FEA" w:rsidRPr="00482FEA" w:rsidRDefault="00482FEA" w:rsidP="00482FEA">
            <w:pPr>
              <w:pStyle w:val="BodyText"/>
              <w:rPr>
                <w:b/>
                <w:bCs/>
              </w:rPr>
            </w:pPr>
            <w:r w:rsidRPr="00482FEA">
              <w:rPr>
                <w:b/>
                <w:bCs/>
              </w:rPr>
              <w:t>60.0</w:t>
            </w:r>
          </w:p>
        </w:tc>
        <w:tc>
          <w:tcPr>
            <w:tcW w:w="0" w:type="auto"/>
            <w:shd w:val="clear" w:color="auto" w:fill="FFFFFF"/>
            <w:tcMar>
              <w:top w:w="120" w:type="dxa"/>
              <w:left w:w="120" w:type="dxa"/>
              <w:bottom w:w="120" w:type="dxa"/>
              <w:right w:w="120" w:type="dxa"/>
            </w:tcMar>
            <w:vAlign w:val="center"/>
            <w:hideMark/>
          </w:tcPr>
          <w:p w14:paraId="14C706D5" w14:textId="77777777" w:rsidR="00482FEA" w:rsidRPr="00482FEA" w:rsidRDefault="00482FEA" w:rsidP="00482FEA">
            <w:pPr>
              <w:pStyle w:val="BodyText"/>
              <w:rPr>
                <w:b/>
                <w:bCs/>
              </w:rPr>
            </w:pPr>
            <w:r w:rsidRPr="00482FEA">
              <w:rPr>
                <w:b/>
                <w:bCs/>
              </w:rPr>
              <w:t>75.0</w:t>
            </w:r>
          </w:p>
        </w:tc>
        <w:tc>
          <w:tcPr>
            <w:tcW w:w="0" w:type="auto"/>
            <w:shd w:val="clear" w:color="auto" w:fill="FFFFFF"/>
            <w:tcMar>
              <w:top w:w="120" w:type="dxa"/>
              <w:left w:w="120" w:type="dxa"/>
              <w:bottom w:w="120" w:type="dxa"/>
              <w:right w:w="120" w:type="dxa"/>
            </w:tcMar>
            <w:vAlign w:val="center"/>
            <w:hideMark/>
          </w:tcPr>
          <w:p w14:paraId="325DE0B6" w14:textId="77777777" w:rsidR="00482FEA" w:rsidRPr="00482FEA" w:rsidRDefault="00482FEA" w:rsidP="00482FEA">
            <w:pPr>
              <w:pStyle w:val="BodyText"/>
              <w:rPr>
                <w:b/>
                <w:bCs/>
              </w:rPr>
            </w:pPr>
            <w:r w:rsidRPr="00482FEA">
              <w:rPr>
                <w:b/>
                <w:bCs/>
              </w:rPr>
              <w:t>90.0</w:t>
            </w:r>
          </w:p>
        </w:tc>
      </w:tr>
      <w:tr w:rsidR="00482FEA" w:rsidRPr="00482FEA" w14:paraId="352E4295" w14:textId="77777777" w:rsidTr="00161271">
        <w:trPr>
          <w:jc w:val="center"/>
        </w:trPr>
        <w:tc>
          <w:tcPr>
            <w:tcW w:w="0" w:type="auto"/>
            <w:shd w:val="clear" w:color="auto" w:fill="FFFFFF"/>
            <w:tcMar>
              <w:top w:w="120" w:type="dxa"/>
              <w:left w:w="120" w:type="dxa"/>
              <w:bottom w:w="120" w:type="dxa"/>
              <w:right w:w="120" w:type="dxa"/>
            </w:tcMar>
            <w:vAlign w:val="center"/>
            <w:hideMark/>
          </w:tcPr>
          <w:p w14:paraId="6700B0D9" w14:textId="77777777" w:rsidR="00482FEA" w:rsidRPr="00482FEA" w:rsidRDefault="00482FEA" w:rsidP="00482FEA">
            <w:pPr>
              <w:pStyle w:val="BodyText"/>
              <w:rPr>
                <w:b/>
                <w:bCs/>
              </w:rPr>
            </w:pPr>
            <w:proofErr w:type="spellStart"/>
            <w:r w:rsidRPr="00482FEA">
              <w:rPr>
                <w:b/>
                <w:bCs/>
              </w:rPr>
              <w:t>Temperature_K</w:t>
            </w:r>
            <w:proofErr w:type="spellEnd"/>
          </w:p>
        </w:tc>
        <w:tc>
          <w:tcPr>
            <w:tcW w:w="0" w:type="auto"/>
            <w:shd w:val="clear" w:color="auto" w:fill="FFFFFF"/>
            <w:tcMar>
              <w:top w:w="120" w:type="dxa"/>
              <w:left w:w="120" w:type="dxa"/>
              <w:bottom w:w="120" w:type="dxa"/>
              <w:right w:w="120" w:type="dxa"/>
            </w:tcMar>
            <w:vAlign w:val="center"/>
            <w:hideMark/>
          </w:tcPr>
          <w:p w14:paraId="208D599D" w14:textId="31213ABD" w:rsidR="00482FEA" w:rsidRPr="00482FEA" w:rsidRDefault="00482FEA" w:rsidP="00482FEA">
            <w:pPr>
              <w:pStyle w:val="BodyText"/>
            </w:pPr>
            <w:r w:rsidRPr="00482FEA">
              <w:t>298.15</w:t>
            </w:r>
          </w:p>
        </w:tc>
        <w:tc>
          <w:tcPr>
            <w:tcW w:w="0" w:type="auto"/>
            <w:shd w:val="clear" w:color="auto" w:fill="FFFFFF"/>
            <w:tcMar>
              <w:top w:w="120" w:type="dxa"/>
              <w:left w:w="120" w:type="dxa"/>
              <w:bottom w:w="120" w:type="dxa"/>
              <w:right w:w="120" w:type="dxa"/>
            </w:tcMar>
            <w:vAlign w:val="center"/>
            <w:hideMark/>
          </w:tcPr>
          <w:p w14:paraId="69B39B46" w14:textId="2D06C533" w:rsidR="00482FEA" w:rsidRPr="00482FEA" w:rsidRDefault="00482FEA" w:rsidP="00482FEA">
            <w:pPr>
              <w:pStyle w:val="BodyText"/>
            </w:pPr>
            <w:r w:rsidRPr="00482FEA">
              <w:t>318.15</w:t>
            </w:r>
          </w:p>
        </w:tc>
        <w:tc>
          <w:tcPr>
            <w:tcW w:w="0" w:type="auto"/>
            <w:shd w:val="clear" w:color="auto" w:fill="FFFFFF"/>
            <w:tcMar>
              <w:top w:w="120" w:type="dxa"/>
              <w:left w:w="120" w:type="dxa"/>
              <w:bottom w:w="120" w:type="dxa"/>
              <w:right w:w="120" w:type="dxa"/>
            </w:tcMar>
            <w:vAlign w:val="center"/>
            <w:hideMark/>
          </w:tcPr>
          <w:p w14:paraId="2A58B1F6" w14:textId="60F89431" w:rsidR="00482FEA" w:rsidRPr="00482FEA" w:rsidRDefault="00482FEA" w:rsidP="00482FEA">
            <w:pPr>
              <w:pStyle w:val="BodyText"/>
            </w:pPr>
            <w:r w:rsidRPr="00482FEA">
              <w:t>333.15</w:t>
            </w:r>
          </w:p>
        </w:tc>
        <w:tc>
          <w:tcPr>
            <w:tcW w:w="0" w:type="auto"/>
            <w:shd w:val="clear" w:color="auto" w:fill="FFFFFF"/>
            <w:tcMar>
              <w:top w:w="120" w:type="dxa"/>
              <w:left w:w="120" w:type="dxa"/>
              <w:bottom w:w="120" w:type="dxa"/>
              <w:right w:w="120" w:type="dxa"/>
            </w:tcMar>
            <w:vAlign w:val="center"/>
            <w:hideMark/>
          </w:tcPr>
          <w:p w14:paraId="27AFE291" w14:textId="4D1A7B20" w:rsidR="00482FEA" w:rsidRPr="00482FEA" w:rsidRDefault="00482FEA" w:rsidP="00482FEA">
            <w:pPr>
              <w:pStyle w:val="BodyText"/>
            </w:pPr>
            <w:r w:rsidRPr="00482FEA">
              <w:t>348.15</w:t>
            </w:r>
          </w:p>
        </w:tc>
        <w:tc>
          <w:tcPr>
            <w:tcW w:w="0" w:type="auto"/>
            <w:shd w:val="clear" w:color="auto" w:fill="FFFFFF"/>
            <w:tcMar>
              <w:top w:w="120" w:type="dxa"/>
              <w:left w:w="120" w:type="dxa"/>
              <w:bottom w:w="120" w:type="dxa"/>
              <w:right w:w="120" w:type="dxa"/>
            </w:tcMar>
            <w:vAlign w:val="center"/>
            <w:hideMark/>
          </w:tcPr>
          <w:p w14:paraId="219390FF" w14:textId="14418AB2" w:rsidR="00482FEA" w:rsidRPr="00482FEA" w:rsidRDefault="00482FEA" w:rsidP="00482FEA">
            <w:pPr>
              <w:pStyle w:val="BodyText"/>
            </w:pPr>
            <w:r w:rsidRPr="00482FEA">
              <w:t>363.15</w:t>
            </w:r>
          </w:p>
        </w:tc>
      </w:tr>
      <w:tr w:rsidR="00482FEA" w:rsidRPr="00482FEA" w14:paraId="50153918" w14:textId="77777777" w:rsidTr="00161271">
        <w:trPr>
          <w:jc w:val="center"/>
        </w:trPr>
        <w:tc>
          <w:tcPr>
            <w:tcW w:w="0" w:type="auto"/>
            <w:shd w:val="clear" w:color="auto" w:fill="FFFFFF"/>
            <w:tcMar>
              <w:top w:w="120" w:type="dxa"/>
              <w:left w:w="120" w:type="dxa"/>
              <w:bottom w:w="120" w:type="dxa"/>
              <w:right w:w="120" w:type="dxa"/>
            </w:tcMar>
            <w:vAlign w:val="center"/>
            <w:hideMark/>
          </w:tcPr>
          <w:p w14:paraId="4ABD0D98" w14:textId="77777777" w:rsidR="00482FEA" w:rsidRPr="00482FEA" w:rsidRDefault="00482FEA" w:rsidP="00482FEA">
            <w:pPr>
              <w:pStyle w:val="BodyText"/>
              <w:rPr>
                <w:b/>
                <w:bCs/>
              </w:rPr>
            </w:pPr>
            <w:proofErr w:type="spellStart"/>
            <w:r w:rsidRPr="00482FEA">
              <w:rPr>
                <w:b/>
                <w:bCs/>
              </w:rPr>
              <w:t>ks_SCM_surface</w:t>
            </w:r>
            <w:proofErr w:type="spellEnd"/>
          </w:p>
        </w:tc>
        <w:tc>
          <w:tcPr>
            <w:tcW w:w="0" w:type="auto"/>
            <w:shd w:val="clear" w:color="auto" w:fill="FFFFFF"/>
            <w:tcMar>
              <w:top w:w="120" w:type="dxa"/>
              <w:left w:w="120" w:type="dxa"/>
              <w:bottom w:w="120" w:type="dxa"/>
              <w:right w:w="120" w:type="dxa"/>
            </w:tcMar>
            <w:vAlign w:val="center"/>
            <w:hideMark/>
          </w:tcPr>
          <w:p w14:paraId="51BF544A" w14:textId="77777777" w:rsidR="00482FEA" w:rsidRPr="00482FEA" w:rsidRDefault="00482FEA" w:rsidP="00482FEA">
            <w:pPr>
              <w:pStyle w:val="BodyText"/>
            </w:pPr>
            <w:r w:rsidRPr="00482FEA">
              <w:t>0.00018</w:t>
            </w:r>
          </w:p>
        </w:tc>
        <w:tc>
          <w:tcPr>
            <w:tcW w:w="0" w:type="auto"/>
            <w:shd w:val="clear" w:color="auto" w:fill="FFFFFF"/>
            <w:tcMar>
              <w:top w:w="120" w:type="dxa"/>
              <w:left w:w="120" w:type="dxa"/>
              <w:bottom w:w="120" w:type="dxa"/>
              <w:right w:w="120" w:type="dxa"/>
            </w:tcMar>
            <w:vAlign w:val="center"/>
            <w:hideMark/>
          </w:tcPr>
          <w:p w14:paraId="34116D15" w14:textId="77777777" w:rsidR="00482FEA" w:rsidRPr="00482FEA" w:rsidRDefault="00482FEA" w:rsidP="00482FEA">
            <w:pPr>
              <w:pStyle w:val="BodyText"/>
            </w:pPr>
            <w:r w:rsidRPr="00482FEA">
              <w:t>0.00063</w:t>
            </w:r>
          </w:p>
        </w:tc>
        <w:tc>
          <w:tcPr>
            <w:tcW w:w="0" w:type="auto"/>
            <w:shd w:val="clear" w:color="auto" w:fill="FFFFFF"/>
            <w:tcMar>
              <w:top w:w="120" w:type="dxa"/>
              <w:left w:w="120" w:type="dxa"/>
              <w:bottom w:w="120" w:type="dxa"/>
              <w:right w:w="120" w:type="dxa"/>
            </w:tcMar>
            <w:vAlign w:val="center"/>
            <w:hideMark/>
          </w:tcPr>
          <w:p w14:paraId="1B927C13" w14:textId="77777777" w:rsidR="00482FEA" w:rsidRPr="00482FEA" w:rsidRDefault="00482FEA" w:rsidP="00482FEA">
            <w:pPr>
              <w:pStyle w:val="BodyText"/>
            </w:pPr>
            <w:r w:rsidRPr="00482FEA">
              <w:t>0.00096</w:t>
            </w:r>
          </w:p>
        </w:tc>
        <w:tc>
          <w:tcPr>
            <w:tcW w:w="0" w:type="auto"/>
            <w:shd w:val="clear" w:color="auto" w:fill="FFFFFF"/>
            <w:tcMar>
              <w:top w:w="120" w:type="dxa"/>
              <w:left w:w="120" w:type="dxa"/>
              <w:bottom w:w="120" w:type="dxa"/>
              <w:right w:w="120" w:type="dxa"/>
            </w:tcMar>
            <w:vAlign w:val="center"/>
            <w:hideMark/>
          </w:tcPr>
          <w:p w14:paraId="5DAE9647" w14:textId="77777777" w:rsidR="00482FEA" w:rsidRPr="00482FEA" w:rsidRDefault="00482FEA" w:rsidP="00482FEA">
            <w:pPr>
              <w:pStyle w:val="BodyText"/>
            </w:pPr>
            <w:r w:rsidRPr="00482FEA">
              <w:t>0.00132</w:t>
            </w:r>
          </w:p>
        </w:tc>
        <w:tc>
          <w:tcPr>
            <w:tcW w:w="0" w:type="auto"/>
            <w:shd w:val="clear" w:color="auto" w:fill="FFFFFF"/>
            <w:tcMar>
              <w:top w:w="120" w:type="dxa"/>
              <w:left w:w="120" w:type="dxa"/>
              <w:bottom w:w="120" w:type="dxa"/>
              <w:right w:w="120" w:type="dxa"/>
            </w:tcMar>
            <w:vAlign w:val="center"/>
            <w:hideMark/>
          </w:tcPr>
          <w:p w14:paraId="0DC81689" w14:textId="77777777" w:rsidR="00482FEA" w:rsidRPr="00482FEA" w:rsidRDefault="00482FEA" w:rsidP="00482FEA">
            <w:pPr>
              <w:pStyle w:val="BodyText"/>
            </w:pPr>
            <w:r w:rsidRPr="00482FEA">
              <w:t>0.00155</w:t>
            </w:r>
          </w:p>
        </w:tc>
      </w:tr>
      <w:tr w:rsidR="00482FEA" w:rsidRPr="00482FEA" w14:paraId="1F519736" w14:textId="77777777" w:rsidTr="00161271">
        <w:trPr>
          <w:jc w:val="center"/>
        </w:trPr>
        <w:tc>
          <w:tcPr>
            <w:tcW w:w="0" w:type="auto"/>
            <w:shd w:val="clear" w:color="auto" w:fill="FFFFFF"/>
            <w:tcMar>
              <w:top w:w="120" w:type="dxa"/>
              <w:left w:w="120" w:type="dxa"/>
              <w:bottom w:w="120" w:type="dxa"/>
              <w:right w:w="120" w:type="dxa"/>
            </w:tcMar>
            <w:vAlign w:val="center"/>
            <w:hideMark/>
          </w:tcPr>
          <w:p w14:paraId="593C37D1" w14:textId="77777777" w:rsidR="00482FEA" w:rsidRPr="00482FEA" w:rsidRDefault="00482FEA" w:rsidP="00482FEA">
            <w:pPr>
              <w:pStyle w:val="BodyText"/>
              <w:rPr>
                <w:b/>
                <w:bCs/>
              </w:rPr>
            </w:pPr>
            <w:proofErr w:type="spellStart"/>
            <w:r w:rsidRPr="00482FEA">
              <w:rPr>
                <w:b/>
                <w:bCs/>
              </w:rPr>
              <w:t>kd_SCM_diffusion</w:t>
            </w:r>
            <w:proofErr w:type="spellEnd"/>
          </w:p>
        </w:tc>
        <w:tc>
          <w:tcPr>
            <w:tcW w:w="0" w:type="auto"/>
            <w:shd w:val="clear" w:color="auto" w:fill="FFFFFF"/>
            <w:tcMar>
              <w:top w:w="120" w:type="dxa"/>
              <w:left w:w="120" w:type="dxa"/>
              <w:bottom w:w="120" w:type="dxa"/>
              <w:right w:w="120" w:type="dxa"/>
            </w:tcMar>
            <w:vAlign w:val="center"/>
            <w:hideMark/>
          </w:tcPr>
          <w:p w14:paraId="76362E8E" w14:textId="77777777" w:rsidR="00482FEA" w:rsidRPr="00482FEA" w:rsidRDefault="00482FEA" w:rsidP="00482FEA">
            <w:pPr>
              <w:pStyle w:val="BodyText"/>
            </w:pPr>
            <w:r w:rsidRPr="00482FEA">
              <w:t>0.00003</w:t>
            </w:r>
          </w:p>
        </w:tc>
        <w:tc>
          <w:tcPr>
            <w:tcW w:w="0" w:type="auto"/>
            <w:shd w:val="clear" w:color="auto" w:fill="FFFFFF"/>
            <w:tcMar>
              <w:top w:w="120" w:type="dxa"/>
              <w:left w:w="120" w:type="dxa"/>
              <w:bottom w:w="120" w:type="dxa"/>
              <w:right w:w="120" w:type="dxa"/>
            </w:tcMar>
            <w:vAlign w:val="center"/>
            <w:hideMark/>
          </w:tcPr>
          <w:p w14:paraId="17A4F16E" w14:textId="77777777" w:rsidR="00482FEA" w:rsidRPr="00482FEA" w:rsidRDefault="00482FEA" w:rsidP="00482FEA">
            <w:pPr>
              <w:pStyle w:val="BodyText"/>
            </w:pPr>
            <w:r w:rsidRPr="00482FEA">
              <w:t>0.00025</w:t>
            </w:r>
          </w:p>
        </w:tc>
        <w:tc>
          <w:tcPr>
            <w:tcW w:w="0" w:type="auto"/>
            <w:shd w:val="clear" w:color="auto" w:fill="FFFFFF"/>
            <w:tcMar>
              <w:top w:w="120" w:type="dxa"/>
              <w:left w:w="120" w:type="dxa"/>
              <w:bottom w:w="120" w:type="dxa"/>
              <w:right w:w="120" w:type="dxa"/>
            </w:tcMar>
            <w:vAlign w:val="center"/>
            <w:hideMark/>
          </w:tcPr>
          <w:p w14:paraId="2DCEB58B" w14:textId="77777777" w:rsidR="00482FEA" w:rsidRPr="00482FEA" w:rsidRDefault="00482FEA" w:rsidP="00482FEA">
            <w:pPr>
              <w:pStyle w:val="BodyText"/>
            </w:pPr>
            <w:r w:rsidRPr="00482FEA">
              <w:t>0.00052</w:t>
            </w:r>
          </w:p>
        </w:tc>
        <w:tc>
          <w:tcPr>
            <w:tcW w:w="0" w:type="auto"/>
            <w:shd w:val="clear" w:color="auto" w:fill="FFFFFF"/>
            <w:tcMar>
              <w:top w:w="120" w:type="dxa"/>
              <w:left w:w="120" w:type="dxa"/>
              <w:bottom w:w="120" w:type="dxa"/>
              <w:right w:w="120" w:type="dxa"/>
            </w:tcMar>
            <w:vAlign w:val="center"/>
            <w:hideMark/>
          </w:tcPr>
          <w:p w14:paraId="6E177241" w14:textId="77777777" w:rsidR="00482FEA" w:rsidRPr="00482FEA" w:rsidRDefault="00482FEA" w:rsidP="00482FEA">
            <w:pPr>
              <w:pStyle w:val="BodyText"/>
            </w:pPr>
            <w:r w:rsidRPr="00482FEA">
              <w:t>0.00090</w:t>
            </w:r>
          </w:p>
        </w:tc>
        <w:tc>
          <w:tcPr>
            <w:tcW w:w="0" w:type="auto"/>
            <w:shd w:val="clear" w:color="auto" w:fill="FFFFFF"/>
            <w:tcMar>
              <w:top w:w="120" w:type="dxa"/>
              <w:left w:w="120" w:type="dxa"/>
              <w:bottom w:w="120" w:type="dxa"/>
              <w:right w:w="120" w:type="dxa"/>
            </w:tcMar>
            <w:vAlign w:val="center"/>
            <w:hideMark/>
          </w:tcPr>
          <w:p w14:paraId="148722E0" w14:textId="77777777" w:rsidR="00482FEA" w:rsidRPr="00482FEA" w:rsidRDefault="00482FEA" w:rsidP="00482FEA">
            <w:pPr>
              <w:pStyle w:val="BodyText"/>
            </w:pPr>
            <w:r w:rsidRPr="00482FEA">
              <w:t>0.00106</w:t>
            </w:r>
          </w:p>
        </w:tc>
      </w:tr>
      <w:tr w:rsidR="00482FEA" w:rsidRPr="00482FEA" w14:paraId="0A689523" w14:textId="77777777" w:rsidTr="00161271">
        <w:trPr>
          <w:jc w:val="center"/>
        </w:trPr>
        <w:tc>
          <w:tcPr>
            <w:tcW w:w="0" w:type="auto"/>
            <w:shd w:val="clear" w:color="auto" w:fill="FFFFFF"/>
            <w:tcMar>
              <w:top w:w="120" w:type="dxa"/>
              <w:left w:w="120" w:type="dxa"/>
              <w:bottom w:w="120" w:type="dxa"/>
              <w:right w:w="120" w:type="dxa"/>
            </w:tcMar>
            <w:vAlign w:val="center"/>
            <w:hideMark/>
          </w:tcPr>
          <w:p w14:paraId="1822B010" w14:textId="77777777" w:rsidR="00482FEA" w:rsidRPr="00482FEA" w:rsidRDefault="00482FEA" w:rsidP="00482FEA">
            <w:pPr>
              <w:pStyle w:val="BodyText"/>
              <w:rPr>
                <w:b/>
                <w:bCs/>
              </w:rPr>
            </w:pPr>
            <w:proofErr w:type="spellStart"/>
            <w:r w:rsidRPr="00482FEA">
              <w:rPr>
                <w:b/>
                <w:bCs/>
              </w:rPr>
              <w:t>kA_Avrami</w:t>
            </w:r>
            <w:proofErr w:type="spellEnd"/>
          </w:p>
        </w:tc>
        <w:tc>
          <w:tcPr>
            <w:tcW w:w="0" w:type="auto"/>
            <w:shd w:val="clear" w:color="auto" w:fill="FFFFFF"/>
            <w:tcMar>
              <w:top w:w="120" w:type="dxa"/>
              <w:left w:w="120" w:type="dxa"/>
              <w:bottom w:w="120" w:type="dxa"/>
              <w:right w:w="120" w:type="dxa"/>
            </w:tcMar>
            <w:vAlign w:val="center"/>
            <w:hideMark/>
          </w:tcPr>
          <w:p w14:paraId="05C90732" w14:textId="77777777" w:rsidR="00482FEA" w:rsidRPr="00482FEA" w:rsidRDefault="00482FEA" w:rsidP="00482FEA">
            <w:pPr>
              <w:pStyle w:val="BodyText"/>
            </w:pPr>
            <w:r w:rsidRPr="00482FEA">
              <w:t>0.02430</w:t>
            </w:r>
          </w:p>
        </w:tc>
        <w:tc>
          <w:tcPr>
            <w:tcW w:w="0" w:type="auto"/>
            <w:shd w:val="clear" w:color="auto" w:fill="FFFFFF"/>
            <w:tcMar>
              <w:top w:w="120" w:type="dxa"/>
              <w:left w:w="120" w:type="dxa"/>
              <w:bottom w:w="120" w:type="dxa"/>
              <w:right w:w="120" w:type="dxa"/>
            </w:tcMar>
            <w:vAlign w:val="center"/>
            <w:hideMark/>
          </w:tcPr>
          <w:p w14:paraId="0C25B12E" w14:textId="77777777" w:rsidR="00482FEA" w:rsidRPr="00482FEA" w:rsidRDefault="00482FEA" w:rsidP="00482FEA">
            <w:pPr>
              <w:pStyle w:val="BodyText"/>
            </w:pPr>
            <w:r w:rsidRPr="00482FEA">
              <w:t>0.02056</w:t>
            </w:r>
          </w:p>
        </w:tc>
        <w:tc>
          <w:tcPr>
            <w:tcW w:w="0" w:type="auto"/>
            <w:shd w:val="clear" w:color="auto" w:fill="FFFFFF"/>
            <w:tcMar>
              <w:top w:w="120" w:type="dxa"/>
              <w:left w:w="120" w:type="dxa"/>
              <w:bottom w:w="120" w:type="dxa"/>
              <w:right w:w="120" w:type="dxa"/>
            </w:tcMar>
            <w:vAlign w:val="center"/>
            <w:hideMark/>
          </w:tcPr>
          <w:p w14:paraId="1D0AE50A" w14:textId="77777777" w:rsidR="00482FEA" w:rsidRPr="00482FEA" w:rsidRDefault="00482FEA" w:rsidP="00482FEA">
            <w:pPr>
              <w:pStyle w:val="BodyText"/>
            </w:pPr>
            <w:r w:rsidRPr="00482FEA">
              <w:t>0.01896</w:t>
            </w:r>
          </w:p>
        </w:tc>
        <w:tc>
          <w:tcPr>
            <w:tcW w:w="0" w:type="auto"/>
            <w:shd w:val="clear" w:color="auto" w:fill="FFFFFF"/>
            <w:tcMar>
              <w:top w:w="120" w:type="dxa"/>
              <w:left w:w="120" w:type="dxa"/>
              <w:bottom w:w="120" w:type="dxa"/>
              <w:right w:w="120" w:type="dxa"/>
            </w:tcMar>
            <w:vAlign w:val="center"/>
            <w:hideMark/>
          </w:tcPr>
          <w:p w14:paraId="4601745E" w14:textId="77777777" w:rsidR="00482FEA" w:rsidRPr="00482FEA" w:rsidRDefault="00482FEA" w:rsidP="00482FEA">
            <w:pPr>
              <w:pStyle w:val="BodyText"/>
            </w:pPr>
            <w:r w:rsidRPr="00482FEA">
              <w:t>0.01778</w:t>
            </w:r>
          </w:p>
        </w:tc>
        <w:tc>
          <w:tcPr>
            <w:tcW w:w="0" w:type="auto"/>
            <w:shd w:val="clear" w:color="auto" w:fill="FFFFFF"/>
            <w:tcMar>
              <w:top w:w="120" w:type="dxa"/>
              <w:left w:w="120" w:type="dxa"/>
              <w:bottom w:w="120" w:type="dxa"/>
              <w:right w:w="120" w:type="dxa"/>
            </w:tcMar>
            <w:vAlign w:val="center"/>
            <w:hideMark/>
          </w:tcPr>
          <w:p w14:paraId="40DA1BC8" w14:textId="77777777" w:rsidR="00482FEA" w:rsidRPr="00482FEA" w:rsidRDefault="00482FEA" w:rsidP="00482FEA">
            <w:pPr>
              <w:pStyle w:val="BodyText"/>
            </w:pPr>
            <w:r w:rsidRPr="00482FEA">
              <w:t>0.00572</w:t>
            </w:r>
          </w:p>
        </w:tc>
      </w:tr>
      <w:tr w:rsidR="00482FEA" w:rsidRPr="00482FEA" w14:paraId="33C12983" w14:textId="77777777" w:rsidTr="00161271">
        <w:trPr>
          <w:jc w:val="center"/>
        </w:trPr>
        <w:tc>
          <w:tcPr>
            <w:tcW w:w="0" w:type="auto"/>
            <w:shd w:val="clear" w:color="auto" w:fill="FFFFFF"/>
            <w:tcMar>
              <w:top w:w="120" w:type="dxa"/>
              <w:left w:w="120" w:type="dxa"/>
              <w:bottom w:w="120" w:type="dxa"/>
              <w:right w:w="120" w:type="dxa"/>
            </w:tcMar>
            <w:vAlign w:val="center"/>
            <w:hideMark/>
          </w:tcPr>
          <w:p w14:paraId="692E0C25" w14:textId="77777777" w:rsidR="00482FEA" w:rsidRPr="00482FEA" w:rsidRDefault="00482FEA" w:rsidP="00482FEA">
            <w:pPr>
              <w:pStyle w:val="BodyText"/>
              <w:rPr>
                <w:b/>
                <w:bCs/>
              </w:rPr>
            </w:pPr>
            <w:proofErr w:type="spellStart"/>
            <w:r w:rsidRPr="00482FEA">
              <w:rPr>
                <w:b/>
                <w:bCs/>
              </w:rPr>
              <w:t>n_Avrami</w:t>
            </w:r>
            <w:proofErr w:type="spellEnd"/>
          </w:p>
        </w:tc>
        <w:tc>
          <w:tcPr>
            <w:tcW w:w="0" w:type="auto"/>
            <w:shd w:val="clear" w:color="auto" w:fill="FFFFFF"/>
            <w:tcMar>
              <w:top w:w="120" w:type="dxa"/>
              <w:left w:w="120" w:type="dxa"/>
              <w:bottom w:w="120" w:type="dxa"/>
              <w:right w:w="120" w:type="dxa"/>
            </w:tcMar>
            <w:vAlign w:val="center"/>
            <w:hideMark/>
          </w:tcPr>
          <w:p w14:paraId="2694DCA2" w14:textId="77777777" w:rsidR="00482FEA" w:rsidRPr="00482FEA" w:rsidRDefault="00482FEA" w:rsidP="00482FEA">
            <w:pPr>
              <w:pStyle w:val="BodyText"/>
            </w:pPr>
            <w:r w:rsidRPr="00482FEA">
              <w:t>0.32835</w:t>
            </w:r>
          </w:p>
        </w:tc>
        <w:tc>
          <w:tcPr>
            <w:tcW w:w="0" w:type="auto"/>
            <w:shd w:val="clear" w:color="auto" w:fill="FFFFFF"/>
            <w:tcMar>
              <w:top w:w="120" w:type="dxa"/>
              <w:left w:w="120" w:type="dxa"/>
              <w:bottom w:w="120" w:type="dxa"/>
              <w:right w:w="120" w:type="dxa"/>
            </w:tcMar>
            <w:vAlign w:val="center"/>
            <w:hideMark/>
          </w:tcPr>
          <w:p w14:paraId="37E0E9A0" w14:textId="77777777" w:rsidR="00482FEA" w:rsidRPr="00482FEA" w:rsidRDefault="00482FEA" w:rsidP="00482FEA">
            <w:pPr>
              <w:pStyle w:val="BodyText"/>
            </w:pPr>
            <w:r w:rsidRPr="00482FEA">
              <w:t>0.56735</w:t>
            </w:r>
          </w:p>
        </w:tc>
        <w:tc>
          <w:tcPr>
            <w:tcW w:w="0" w:type="auto"/>
            <w:shd w:val="clear" w:color="auto" w:fill="FFFFFF"/>
            <w:tcMar>
              <w:top w:w="120" w:type="dxa"/>
              <w:left w:w="120" w:type="dxa"/>
              <w:bottom w:w="120" w:type="dxa"/>
              <w:right w:w="120" w:type="dxa"/>
            </w:tcMar>
            <w:vAlign w:val="center"/>
            <w:hideMark/>
          </w:tcPr>
          <w:p w14:paraId="4A6F707F" w14:textId="77777777" w:rsidR="00482FEA" w:rsidRPr="00482FEA" w:rsidRDefault="00482FEA" w:rsidP="00482FEA">
            <w:pPr>
              <w:pStyle w:val="BodyText"/>
            </w:pPr>
            <w:r w:rsidRPr="00482FEA">
              <w:t>0.66963</w:t>
            </w:r>
          </w:p>
        </w:tc>
        <w:tc>
          <w:tcPr>
            <w:tcW w:w="0" w:type="auto"/>
            <w:shd w:val="clear" w:color="auto" w:fill="FFFFFF"/>
            <w:tcMar>
              <w:top w:w="120" w:type="dxa"/>
              <w:left w:w="120" w:type="dxa"/>
              <w:bottom w:w="120" w:type="dxa"/>
              <w:right w:w="120" w:type="dxa"/>
            </w:tcMar>
            <w:vAlign w:val="center"/>
            <w:hideMark/>
          </w:tcPr>
          <w:p w14:paraId="303B9C04" w14:textId="77777777" w:rsidR="00482FEA" w:rsidRPr="00482FEA" w:rsidRDefault="00482FEA" w:rsidP="00482FEA">
            <w:pPr>
              <w:pStyle w:val="BodyText"/>
            </w:pPr>
            <w:r w:rsidRPr="00482FEA">
              <w:t>0.74986</w:t>
            </w:r>
          </w:p>
        </w:tc>
        <w:tc>
          <w:tcPr>
            <w:tcW w:w="0" w:type="auto"/>
            <w:shd w:val="clear" w:color="auto" w:fill="FFFFFF"/>
            <w:tcMar>
              <w:top w:w="120" w:type="dxa"/>
              <w:left w:w="120" w:type="dxa"/>
              <w:bottom w:w="120" w:type="dxa"/>
              <w:right w:w="120" w:type="dxa"/>
            </w:tcMar>
            <w:vAlign w:val="center"/>
            <w:hideMark/>
          </w:tcPr>
          <w:p w14:paraId="79DD2429" w14:textId="77777777" w:rsidR="00482FEA" w:rsidRPr="00482FEA" w:rsidRDefault="00482FEA" w:rsidP="00482FEA">
            <w:pPr>
              <w:pStyle w:val="BodyText"/>
            </w:pPr>
            <w:r w:rsidRPr="00482FEA">
              <w:t>0.99293</w:t>
            </w:r>
          </w:p>
        </w:tc>
      </w:tr>
      <w:tr w:rsidR="00482FEA" w:rsidRPr="00482FEA" w14:paraId="4540D39B" w14:textId="77777777" w:rsidTr="00161271">
        <w:trPr>
          <w:jc w:val="center"/>
        </w:trPr>
        <w:tc>
          <w:tcPr>
            <w:tcW w:w="0" w:type="auto"/>
            <w:shd w:val="clear" w:color="auto" w:fill="FFFFFF"/>
            <w:tcMar>
              <w:top w:w="120" w:type="dxa"/>
              <w:left w:w="120" w:type="dxa"/>
              <w:bottom w:w="120" w:type="dxa"/>
              <w:right w:w="120" w:type="dxa"/>
            </w:tcMar>
            <w:vAlign w:val="center"/>
            <w:hideMark/>
          </w:tcPr>
          <w:p w14:paraId="146260BB" w14:textId="77777777" w:rsidR="00482FEA" w:rsidRPr="00482FEA" w:rsidRDefault="00482FEA" w:rsidP="00482FEA">
            <w:pPr>
              <w:pStyle w:val="BodyText"/>
              <w:rPr>
                <w:b/>
                <w:bCs/>
              </w:rPr>
            </w:pPr>
            <w:proofErr w:type="spellStart"/>
            <w:r w:rsidRPr="00482FEA">
              <w:rPr>
                <w:b/>
                <w:bCs/>
              </w:rPr>
              <w:t>kA_corrected</w:t>
            </w:r>
            <w:proofErr w:type="spellEnd"/>
          </w:p>
        </w:tc>
        <w:tc>
          <w:tcPr>
            <w:tcW w:w="0" w:type="auto"/>
            <w:shd w:val="clear" w:color="auto" w:fill="FFFFFF"/>
            <w:tcMar>
              <w:top w:w="120" w:type="dxa"/>
              <w:left w:w="120" w:type="dxa"/>
              <w:bottom w:w="120" w:type="dxa"/>
              <w:right w:w="120" w:type="dxa"/>
            </w:tcMar>
            <w:vAlign w:val="center"/>
            <w:hideMark/>
          </w:tcPr>
          <w:p w14:paraId="1D25AD1E" w14:textId="77777777" w:rsidR="00482FEA" w:rsidRPr="00482FEA" w:rsidRDefault="00482FEA" w:rsidP="00482FEA">
            <w:pPr>
              <w:pStyle w:val="BodyText"/>
            </w:pPr>
            <w:r w:rsidRPr="00482FEA">
              <w:t>0.00001</w:t>
            </w:r>
          </w:p>
        </w:tc>
        <w:tc>
          <w:tcPr>
            <w:tcW w:w="0" w:type="auto"/>
            <w:shd w:val="clear" w:color="auto" w:fill="FFFFFF"/>
            <w:tcMar>
              <w:top w:w="120" w:type="dxa"/>
              <w:left w:w="120" w:type="dxa"/>
              <w:bottom w:w="120" w:type="dxa"/>
              <w:right w:w="120" w:type="dxa"/>
            </w:tcMar>
            <w:vAlign w:val="center"/>
            <w:hideMark/>
          </w:tcPr>
          <w:p w14:paraId="496F20CE" w14:textId="77777777" w:rsidR="00482FEA" w:rsidRPr="00482FEA" w:rsidRDefault="00482FEA" w:rsidP="00482FEA">
            <w:pPr>
              <w:pStyle w:val="BodyText"/>
            </w:pPr>
            <w:r w:rsidRPr="00482FEA">
              <w:t>0.00106</w:t>
            </w:r>
          </w:p>
        </w:tc>
        <w:tc>
          <w:tcPr>
            <w:tcW w:w="0" w:type="auto"/>
            <w:shd w:val="clear" w:color="auto" w:fill="FFFFFF"/>
            <w:tcMar>
              <w:top w:w="120" w:type="dxa"/>
              <w:left w:w="120" w:type="dxa"/>
              <w:bottom w:w="120" w:type="dxa"/>
              <w:right w:w="120" w:type="dxa"/>
            </w:tcMar>
            <w:vAlign w:val="center"/>
            <w:hideMark/>
          </w:tcPr>
          <w:p w14:paraId="474A4E8F" w14:textId="77777777" w:rsidR="00482FEA" w:rsidRPr="00482FEA" w:rsidRDefault="00482FEA" w:rsidP="00482FEA">
            <w:pPr>
              <w:pStyle w:val="BodyText"/>
            </w:pPr>
            <w:r w:rsidRPr="00482FEA">
              <w:t>0.00268</w:t>
            </w:r>
          </w:p>
        </w:tc>
        <w:tc>
          <w:tcPr>
            <w:tcW w:w="0" w:type="auto"/>
            <w:shd w:val="clear" w:color="auto" w:fill="FFFFFF"/>
            <w:tcMar>
              <w:top w:w="120" w:type="dxa"/>
              <w:left w:w="120" w:type="dxa"/>
              <w:bottom w:w="120" w:type="dxa"/>
              <w:right w:w="120" w:type="dxa"/>
            </w:tcMar>
            <w:vAlign w:val="center"/>
            <w:hideMark/>
          </w:tcPr>
          <w:p w14:paraId="08B4A7FB" w14:textId="77777777" w:rsidR="00482FEA" w:rsidRPr="00482FEA" w:rsidRDefault="00482FEA" w:rsidP="00482FEA">
            <w:pPr>
              <w:pStyle w:val="BodyText"/>
            </w:pPr>
            <w:r w:rsidRPr="00482FEA">
              <w:t>0.00463</w:t>
            </w:r>
          </w:p>
        </w:tc>
        <w:tc>
          <w:tcPr>
            <w:tcW w:w="0" w:type="auto"/>
            <w:shd w:val="clear" w:color="auto" w:fill="FFFFFF"/>
            <w:tcMar>
              <w:top w:w="120" w:type="dxa"/>
              <w:left w:w="120" w:type="dxa"/>
              <w:bottom w:w="120" w:type="dxa"/>
              <w:right w:w="120" w:type="dxa"/>
            </w:tcMar>
            <w:vAlign w:val="center"/>
            <w:hideMark/>
          </w:tcPr>
          <w:p w14:paraId="159D0E78" w14:textId="77777777" w:rsidR="00482FEA" w:rsidRPr="00482FEA" w:rsidRDefault="00482FEA" w:rsidP="00482FEA">
            <w:pPr>
              <w:pStyle w:val="BodyText"/>
            </w:pPr>
            <w:r w:rsidRPr="00482FEA">
              <w:t>0.00552</w:t>
            </w:r>
          </w:p>
        </w:tc>
      </w:tr>
      <w:tr w:rsidR="00482FEA" w:rsidRPr="00482FEA" w14:paraId="588A9172" w14:textId="77777777" w:rsidTr="00161271">
        <w:trPr>
          <w:jc w:val="center"/>
        </w:trPr>
        <w:tc>
          <w:tcPr>
            <w:tcW w:w="0" w:type="auto"/>
            <w:shd w:val="clear" w:color="auto" w:fill="FFFFFF"/>
            <w:tcMar>
              <w:top w:w="120" w:type="dxa"/>
              <w:left w:w="120" w:type="dxa"/>
              <w:bottom w:w="120" w:type="dxa"/>
              <w:right w:w="120" w:type="dxa"/>
            </w:tcMar>
            <w:vAlign w:val="center"/>
            <w:hideMark/>
          </w:tcPr>
          <w:p w14:paraId="6302BC1F" w14:textId="77777777" w:rsidR="00482FEA" w:rsidRPr="00482FEA" w:rsidRDefault="00482FEA" w:rsidP="00482FEA">
            <w:pPr>
              <w:pStyle w:val="BodyText"/>
              <w:rPr>
                <w:b/>
                <w:bCs/>
              </w:rPr>
            </w:pPr>
            <w:r w:rsidRPr="00482FEA">
              <w:rPr>
                <w:b/>
                <w:bCs/>
              </w:rPr>
              <w:t>R2_SCM_surface</w:t>
            </w:r>
          </w:p>
        </w:tc>
        <w:tc>
          <w:tcPr>
            <w:tcW w:w="0" w:type="auto"/>
            <w:shd w:val="clear" w:color="auto" w:fill="FFFFFF"/>
            <w:tcMar>
              <w:top w:w="120" w:type="dxa"/>
              <w:left w:w="120" w:type="dxa"/>
              <w:bottom w:w="120" w:type="dxa"/>
              <w:right w:w="120" w:type="dxa"/>
            </w:tcMar>
            <w:vAlign w:val="center"/>
            <w:hideMark/>
          </w:tcPr>
          <w:p w14:paraId="7AF7D0CB" w14:textId="77777777" w:rsidR="00482FEA" w:rsidRPr="00482FEA" w:rsidRDefault="00482FEA" w:rsidP="00482FEA">
            <w:pPr>
              <w:pStyle w:val="BodyText"/>
            </w:pPr>
            <w:r w:rsidRPr="00482FEA">
              <w:t>0.96920</w:t>
            </w:r>
          </w:p>
        </w:tc>
        <w:tc>
          <w:tcPr>
            <w:tcW w:w="0" w:type="auto"/>
            <w:shd w:val="clear" w:color="auto" w:fill="FFFFFF"/>
            <w:tcMar>
              <w:top w:w="120" w:type="dxa"/>
              <w:left w:w="120" w:type="dxa"/>
              <w:bottom w:w="120" w:type="dxa"/>
              <w:right w:w="120" w:type="dxa"/>
            </w:tcMar>
            <w:vAlign w:val="center"/>
            <w:hideMark/>
          </w:tcPr>
          <w:p w14:paraId="1011EC4B" w14:textId="77777777" w:rsidR="00482FEA" w:rsidRPr="00482FEA" w:rsidRDefault="00482FEA" w:rsidP="00482FEA">
            <w:pPr>
              <w:pStyle w:val="BodyText"/>
            </w:pPr>
            <w:r w:rsidRPr="00482FEA">
              <w:t>0.97961</w:t>
            </w:r>
          </w:p>
        </w:tc>
        <w:tc>
          <w:tcPr>
            <w:tcW w:w="0" w:type="auto"/>
            <w:shd w:val="clear" w:color="auto" w:fill="FFFFFF"/>
            <w:tcMar>
              <w:top w:w="120" w:type="dxa"/>
              <w:left w:w="120" w:type="dxa"/>
              <w:bottom w:w="120" w:type="dxa"/>
              <w:right w:w="120" w:type="dxa"/>
            </w:tcMar>
            <w:vAlign w:val="center"/>
            <w:hideMark/>
          </w:tcPr>
          <w:p w14:paraId="1AA2A621" w14:textId="77777777" w:rsidR="00482FEA" w:rsidRPr="00482FEA" w:rsidRDefault="00482FEA" w:rsidP="00482FEA">
            <w:pPr>
              <w:pStyle w:val="BodyText"/>
            </w:pPr>
            <w:r w:rsidRPr="00482FEA">
              <w:t>0.97554</w:t>
            </w:r>
          </w:p>
        </w:tc>
        <w:tc>
          <w:tcPr>
            <w:tcW w:w="0" w:type="auto"/>
            <w:shd w:val="clear" w:color="auto" w:fill="FFFFFF"/>
            <w:tcMar>
              <w:top w:w="120" w:type="dxa"/>
              <w:left w:w="120" w:type="dxa"/>
              <w:bottom w:w="120" w:type="dxa"/>
              <w:right w:w="120" w:type="dxa"/>
            </w:tcMar>
            <w:vAlign w:val="center"/>
            <w:hideMark/>
          </w:tcPr>
          <w:p w14:paraId="6CCC1242" w14:textId="77777777" w:rsidR="00482FEA" w:rsidRPr="00482FEA" w:rsidRDefault="00482FEA" w:rsidP="00482FEA">
            <w:pPr>
              <w:pStyle w:val="BodyText"/>
            </w:pPr>
            <w:r w:rsidRPr="00482FEA">
              <w:t>0.98003</w:t>
            </w:r>
          </w:p>
        </w:tc>
        <w:tc>
          <w:tcPr>
            <w:tcW w:w="0" w:type="auto"/>
            <w:shd w:val="clear" w:color="auto" w:fill="FFFFFF"/>
            <w:tcMar>
              <w:top w:w="120" w:type="dxa"/>
              <w:left w:w="120" w:type="dxa"/>
              <w:bottom w:w="120" w:type="dxa"/>
              <w:right w:w="120" w:type="dxa"/>
            </w:tcMar>
            <w:vAlign w:val="center"/>
            <w:hideMark/>
          </w:tcPr>
          <w:p w14:paraId="6BE558BF" w14:textId="77777777" w:rsidR="00482FEA" w:rsidRPr="00482FEA" w:rsidRDefault="00482FEA" w:rsidP="00482FEA">
            <w:pPr>
              <w:pStyle w:val="BodyText"/>
            </w:pPr>
            <w:r w:rsidRPr="00482FEA">
              <w:t>0.99378</w:t>
            </w:r>
          </w:p>
        </w:tc>
      </w:tr>
      <w:tr w:rsidR="00482FEA" w:rsidRPr="00482FEA" w14:paraId="4CA8721F" w14:textId="77777777" w:rsidTr="00161271">
        <w:trPr>
          <w:jc w:val="center"/>
        </w:trPr>
        <w:tc>
          <w:tcPr>
            <w:tcW w:w="0" w:type="auto"/>
            <w:shd w:val="clear" w:color="auto" w:fill="FFFFFF"/>
            <w:tcMar>
              <w:top w:w="120" w:type="dxa"/>
              <w:left w:w="120" w:type="dxa"/>
              <w:bottom w:w="120" w:type="dxa"/>
              <w:right w:w="120" w:type="dxa"/>
            </w:tcMar>
            <w:vAlign w:val="center"/>
            <w:hideMark/>
          </w:tcPr>
          <w:p w14:paraId="56FA9835" w14:textId="77777777" w:rsidR="00482FEA" w:rsidRPr="00482FEA" w:rsidRDefault="00482FEA" w:rsidP="00482FEA">
            <w:pPr>
              <w:pStyle w:val="BodyText"/>
              <w:rPr>
                <w:b/>
                <w:bCs/>
              </w:rPr>
            </w:pPr>
            <w:r w:rsidRPr="00482FEA">
              <w:rPr>
                <w:b/>
                <w:bCs/>
              </w:rPr>
              <w:t>R2_SCM_diffusion</w:t>
            </w:r>
          </w:p>
        </w:tc>
        <w:tc>
          <w:tcPr>
            <w:tcW w:w="0" w:type="auto"/>
            <w:shd w:val="clear" w:color="auto" w:fill="FFFFFF"/>
            <w:tcMar>
              <w:top w:w="120" w:type="dxa"/>
              <w:left w:w="120" w:type="dxa"/>
              <w:bottom w:w="120" w:type="dxa"/>
              <w:right w:w="120" w:type="dxa"/>
            </w:tcMar>
            <w:vAlign w:val="center"/>
            <w:hideMark/>
          </w:tcPr>
          <w:p w14:paraId="66AE0244" w14:textId="77777777" w:rsidR="00482FEA" w:rsidRPr="00482FEA" w:rsidRDefault="00482FEA" w:rsidP="00482FEA">
            <w:pPr>
              <w:pStyle w:val="BodyText"/>
            </w:pPr>
            <w:r w:rsidRPr="00482FEA">
              <w:t>0.99434</w:t>
            </w:r>
          </w:p>
        </w:tc>
        <w:tc>
          <w:tcPr>
            <w:tcW w:w="0" w:type="auto"/>
            <w:shd w:val="clear" w:color="auto" w:fill="FFFFFF"/>
            <w:tcMar>
              <w:top w:w="120" w:type="dxa"/>
              <w:left w:w="120" w:type="dxa"/>
              <w:bottom w:w="120" w:type="dxa"/>
              <w:right w:w="120" w:type="dxa"/>
            </w:tcMar>
            <w:vAlign w:val="center"/>
            <w:hideMark/>
          </w:tcPr>
          <w:p w14:paraId="3C99E2D0" w14:textId="77777777" w:rsidR="00482FEA" w:rsidRPr="00482FEA" w:rsidRDefault="00482FEA" w:rsidP="00482FEA">
            <w:pPr>
              <w:pStyle w:val="BodyText"/>
            </w:pPr>
            <w:r w:rsidRPr="00482FEA">
              <w:t>0.99583</w:t>
            </w:r>
          </w:p>
        </w:tc>
        <w:tc>
          <w:tcPr>
            <w:tcW w:w="0" w:type="auto"/>
            <w:shd w:val="clear" w:color="auto" w:fill="FFFFFF"/>
            <w:tcMar>
              <w:top w:w="120" w:type="dxa"/>
              <w:left w:w="120" w:type="dxa"/>
              <w:bottom w:w="120" w:type="dxa"/>
              <w:right w:w="120" w:type="dxa"/>
            </w:tcMar>
            <w:vAlign w:val="center"/>
            <w:hideMark/>
          </w:tcPr>
          <w:p w14:paraId="769F25EB" w14:textId="77777777" w:rsidR="00482FEA" w:rsidRPr="00482FEA" w:rsidRDefault="00482FEA" w:rsidP="00482FEA">
            <w:pPr>
              <w:pStyle w:val="BodyText"/>
            </w:pPr>
            <w:r w:rsidRPr="00482FEA">
              <w:t>0.99492</w:t>
            </w:r>
          </w:p>
        </w:tc>
        <w:tc>
          <w:tcPr>
            <w:tcW w:w="0" w:type="auto"/>
            <w:shd w:val="clear" w:color="auto" w:fill="FFFFFF"/>
            <w:tcMar>
              <w:top w:w="120" w:type="dxa"/>
              <w:left w:w="120" w:type="dxa"/>
              <w:bottom w:w="120" w:type="dxa"/>
              <w:right w:w="120" w:type="dxa"/>
            </w:tcMar>
            <w:vAlign w:val="center"/>
            <w:hideMark/>
          </w:tcPr>
          <w:p w14:paraId="527E98D6" w14:textId="77777777" w:rsidR="00482FEA" w:rsidRPr="00482FEA" w:rsidRDefault="00482FEA" w:rsidP="00482FEA">
            <w:pPr>
              <w:pStyle w:val="BodyText"/>
            </w:pPr>
            <w:r w:rsidRPr="00482FEA">
              <w:t>0.99341</w:t>
            </w:r>
          </w:p>
        </w:tc>
        <w:tc>
          <w:tcPr>
            <w:tcW w:w="0" w:type="auto"/>
            <w:shd w:val="clear" w:color="auto" w:fill="FFFFFF"/>
            <w:tcMar>
              <w:top w:w="120" w:type="dxa"/>
              <w:left w:w="120" w:type="dxa"/>
              <w:bottom w:w="120" w:type="dxa"/>
              <w:right w:w="120" w:type="dxa"/>
            </w:tcMar>
            <w:vAlign w:val="center"/>
            <w:hideMark/>
          </w:tcPr>
          <w:p w14:paraId="5DBA3C4E" w14:textId="77777777" w:rsidR="00482FEA" w:rsidRPr="00482FEA" w:rsidRDefault="00482FEA" w:rsidP="00482FEA">
            <w:pPr>
              <w:pStyle w:val="BodyText"/>
            </w:pPr>
            <w:r w:rsidRPr="00482FEA">
              <w:t>0.97459</w:t>
            </w:r>
          </w:p>
        </w:tc>
      </w:tr>
      <w:tr w:rsidR="00482FEA" w:rsidRPr="00482FEA" w14:paraId="4CEFC527" w14:textId="77777777" w:rsidTr="00161271">
        <w:trPr>
          <w:jc w:val="center"/>
        </w:trPr>
        <w:tc>
          <w:tcPr>
            <w:tcW w:w="0" w:type="auto"/>
            <w:shd w:val="clear" w:color="auto" w:fill="FFFFFF"/>
            <w:tcMar>
              <w:top w:w="120" w:type="dxa"/>
              <w:left w:w="120" w:type="dxa"/>
              <w:bottom w:w="120" w:type="dxa"/>
              <w:right w:w="120" w:type="dxa"/>
            </w:tcMar>
            <w:vAlign w:val="center"/>
            <w:hideMark/>
          </w:tcPr>
          <w:p w14:paraId="752EFDC7" w14:textId="77777777" w:rsidR="00482FEA" w:rsidRPr="00482FEA" w:rsidRDefault="00482FEA" w:rsidP="00482FEA">
            <w:pPr>
              <w:pStyle w:val="BodyText"/>
              <w:rPr>
                <w:b/>
                <w:bCs/>
              </w:rPr>
            </w:pPr>
            <w:r w:rsidRPr="00482FEA">
              <w:rPr>
                <w:b/>
                <w:bCs/>
              </w:rPr>
              <w:t>R2_Avrami</w:t>
            </w:r>
          </w:p>
        </w:tc>
        <w:tc>
          <w:tcPr>
            <w:tcW w:w="0" w:type="auto"/>
            <w:shd w:val="clear" w:color="auto" w:fill="FFFFFF"/>
            <w:tcMar>
              <w:top w:w="120" w:type="dxa"/>
              <w:left w:w="120" w:type="dxa"/>
              <w:bottom w:w="120" w:type="dxa"/>
              <w:right w:w="120" w:type="dxa"/>
            </w:tcMar>
            <w:vAlign w:val="center"/>
            <w:hideMark/>
          </w:tcPr>
          <w:p w14:paraId="26CAB86D" w14:textId="77777777" w:rsidR="00482FEA" w:rsidRPr="00482FEA" w:rsidRDefault="00482FEA" w:rsidP="00482FEA">
            <w:pPr>
              <w:pStyle w:val="BodyText"/>
            </w:pPr>
            <w:r w:rsidRPr="00482FEA">
              <w:t>0.97804</w:t>
            </w:r>
          </w:p>
        </w:tc>
        <w:tc>
          <w:tcPr>
            <w:tcW w:w="0" w:type="auto"/>
            <w:shd w:val="clear" w:color="auto" w:fill="FFFFFF"/>
            <w:tcMar>
              <w:top w:w="120" w:type="dxa"/>
              <w:left w:w="120" w:type="dxa"/>
              <w:bottom w:w="120" w:type="dxa"/>
              <w:right w:w="120" w:type="dxa"/>
            </w:tcMar>
            <w:vAlign w:val="center"/>
            <w:hideMark/>
          </w:tcPr>
          <w:p w14:paraId="4A11EE43" w14:textId="77777777" w:rsidR="00482FEA" w:rsidRPr="00482FEA" w:rsidRDefault="00482FEA" w:rsidP="00482FEA">
            <w:pPr>
              <w:pStyle w:val="BodyText"/>
            </w:pPr>
            <w:r w:rsidRPr="00482FEA">
              <w:t>0.99173</w:t>
            </w:r>
          </w:p>
        </w:tc>
        <w:tc>
          <w:tcPr>
            <w:tcW w:w="0" w:type="auto"/>
            <w:shd w:val="clear" w:color="auto" w:fill="FFFFFF"/>
            <w:tcMar>
              <w:top w:w="120" w:type="dxa"/>
              <w:left w:w="120" w:type="dxa"/>
              <w:bottom w:w="120" w:type="dxa"/>
              <w:right w:w="120" w:type="dxa"/>
            </w:tcMar>
            <w:vAlign w:val="center"/>
            <w:hideMark/>
          </w:tcPr>
          <w:p w14:paraId="2CEE50D0" w14:textId="77777777" w:rsidR="00482FEA" w:rsidRPr="00482FEA" w:rsidRDefault="00482FEA" w:rsidP="00482FEA">
            <w:pPr>
              <w:pStyle w:val="BodyText"/>
            </w:pPr>
            <w:r w:rsidRPr="00482FEA">
              <w:t>0.99715</w:t>
            </w:r>
          </w:p>
        </w:tc>
        <w:tc>
          <w:tcPr>
            <w:tcW w:w="0" w:type="auto"/>
            <w:shd w:val="clear" w:color="auto" w:fill="FFFFFF"/>
            <w:tcMar>
              <w:top w:w="120" w:type="dxa"/>
              <w:left w:w="120" w:type="dxa"/>
              <w:bottom w:w="120" w:type="dxa"/>
              <w:right w:w="120" w:type="dxa"/>
            </w:tcMar>
            <w:vAlign w:val="center"/>
            <w:hideMark/>
          </w:tcPr>
          <w:p w14:paraId="4D9F188C" w14:textId="77777777" w:rsidR="00482FEA" w:rsidRPr="00482FEA" w:rsidRDefault="00482FEA" w:rsidP="00482FEA">
            <w:pPr>
              <w:pStyle w:val="BodyText"/>
            </w:pPr>
            <w:r w:rsidRPr="00482FEA">
              <w:t>0.99954</w:t>
            </w:r>
          </w:p>
        </w:tc>
        <w:tc>
          <w:tcPr>
            <w:tcW w:w="0" w:type="auto"/>
            <w:shd w:val="clear" w:color="auto" w:fill="FFFFFF"/>
            <w:tcMar>
              <w:top w:w="120" w:type="dxa"/>
              <w:left w:w="120" w:type="dxa"/>
              <w:bottom w:w="120" w:type="dxa"/>
              <w:right w:w="120" w:type="dxa"/>
            </w:tcMar>
            <w:vAlign w:val="center"/>
            <w:hideMark/>
          </w:tcPr>
          <w:p w14:paraId="6B7D9CA8" w14:textId="77777777" w:rsidR="00482FEA" w:rsidRPr="00482FEA" w:rsidRDefault="00482FEA" w:rsidP="00482FEA">
            <w:pPr>
              <w:pStyle w:val="BodyText"/>
            </w:pPr>
            <w:r w:rsidRPr="00482FEA">
              <w:t>0.99546</w:t>
            </w:r>
          </w:p>
        </w:tc>
      </w:tr>
      <w:tr w:rsidR="00482FEA" w:rsidRPr="00482FEA" w14:paraId="4E523C17" w14:textId="77777777" w:rsidTr="00161271">
        <w:trPr>
          <w:jc w:val="center"/>
        </w:trPr>
        <w:tc>
          <w:tcPr>
            <w:tcW w:w="0" w:type="auto"/>
            <w:shd w:val="clear" w:color="auto" w:fill="FFFFFF"/>
            <w:tcMar>
              <w:top w:w="120" w:type="dxa"/>
              <w:left w:w="120" w:type="dxa"/>
              <w:bottom w:w="120" w:type="dxa"/>
              <w:right w:w="120" w:type="dxa"/>
            </w:tcMar>
            <w:vAlign w:val="center"/>
            <w:hideMark/>
          </w:tcPr>
          <w:p w14:paraId="256B4734" w14:textId="77777777" w:rsidR="00482FEA" w:rsidRPr="00482FEA" w:rsidRDefault="00482FEA" w:rsidP="00482FEA">
            <w:pPr>
              <w:pStyle w:val="BodyText"/>
              <w:rPr>
                <w:b/>
                <w:bCs/>
              </w:rPr>
            </w:pPr>
            <w:proofErr w:type="spellStart"/>
            <w:r w:rsidRPr="00482FEA">
              <w:rPr>
                <w:b/>
                <w:bCs/>
              </w:rPr>
              <w:t>RSS_SCM_surface</w:t>
            </w:r>
            <w:proofErr w:type="spellEnd"/>
          </w:p>
        </w:tc>
        <w:tc>
          <w:tcPr>
            <w:tcW w:w="0" w:type="auto"/>
            <w:shd w:val="clear" w:color="auto" w:fill="FFFFFF"/>
            <w:tcMar>
              <w:top w:w="120" w:type="dxa"/>
              <w:left w:w="120" w:type="dxa"/>
              <w:bottom w:w="120" w:type="dxa"/>
              <w:right w:w="120" w:type="dxa"/>
            </w:tcMar>
            <w:vAlign w:val="center"/>
            <w:hideMark/>
          </w:tcPr>
          <w:p w14:paraId="1F976E29" w14:textId="77777777" w:rsidR="00482FEA" w:rsidRPr="00482FEA" w:rsidRDefault="00482FEA" w:rsidP="00482FEA">
            <w:pPr>
              <w:pStyle w:val="BodyText"/>
            </w:pPr>
            <w:r w:rsidRPr="00482FEA">
              <w:t>0.00004</w:t>
            </w:r>
          </w:p>
        </w:tc>
        <w:tc>
          <w:tcPr>
            <w:tcW w:w="0" w:type="auto"/>
            <w:shd w:val="clear" w:color="auto" w:fill="FFFFFF"/>
            <w:tcMar>
              <w:top w:w="120" w:type="dxa"/>
              <w:left w:w="120" w:type="dxa"/>
              <w:bottom w:w="120" w:type="dxa"/>
              <w:right w:w="120" w:type="dxa"/>
            </w:tcMar>
            <w:vAlign w:val="center"/>
            <w:hideMark/>
          </w:tcPr>
          <w:p w14:paraId="0F69CD53" w14:textId="77777777" w:rsidR="00482FEA" w:rsidRPr="00482FEA" w:rsidRDefault="00482FEA" w:rsidP="00482FEA">
            <w:pPr>
              <w:pStyle w:val="BodyText"/>
            </w:pPr>
            <w:r w:rsidRPr="00482FEA">
              <w:t>0.00030</w:t>
            </w:r>
          </w:p>
        </w:tc>
        <w:tc>
          <w:tcPr>
            <w:tcW w:w="0" w:type="auto"/>
            <w:shd w:val="clear" w:color="auto" w:fill="FFFFFF"/>
            <w:tcMar>
              <w:top w:w="120" w:type="dxa"/>
              <w:left w:w="120" w:type="dxa"/>
              <w:bottom w:w="120" w:type="dxa"/>
              <w:right w:w="120" w:type="dxa"/>
            </w:tcMar>
            <w:vAlign w:val="center"/>
            <w:hideMark/>
          </w:tcPr>
          <w:p w14:paraId="68F6A5FE" w14:textId="77777777" w:rsidR="00482FEA" w:rsidRPr="00482FEA" w:rsidRDefault="00482FEA" w:rsidP="00482FEA">
            <w:pPr>
              <w:pStyle w:val="BodyText"/>
            </w:pPr>
            <w:r w:rsidRPr="00482FEA">
              <w:t>0.00085</w:t>
            </w:r>
          </w:p>
        </w:tc>
        <w:tc>
          <w:tcPr>
            <w:tcW w:w="0" w:type="auto"/>
            <w:shd w:val="clear" w:color="auto" w:fill="FFFFFF"/>
            <w:tcMar>
              <w:top w:w="120" w:type="dxa"/>
              <w:left w:w="120" w:type="dxa"/>
              <w:bottom w:w="120" w:type="dxa"/>
              <w:right w:w="120" w:type="dxa"/>
            </w:tcMar>
            <w:vAlign w:val="center"/>
            <w:hideMark/>
          </w:tcPr>
          <w:p w14:paraId="594AEDFE" w14:textId="77777777" w:rsidR="00482FEA" w:rsidRPr="00482FEA" w:rsidRDefault="00482FEA" w:rsidP="00482FEA">
            <w:pPr>
              <w:pStyle w:val="BodyText"/>
            </w:pPr>
            <w:r w:rsidRPr="00482FEA">
              <w:t>0.00132</w:t>
            </w:r>
          </w:p>
        </w:tc>
        <w:tc>
          <w:tcPr>
            <w:tcW w:w="0" w:type="auto"/>
            <w:shd w:val="clear" w:color="auto" w:fill="FFFFFF"/>
            <w:tcMar>
              <w:top w:w="120" w:type="dxa"/>
              <w:left w:w="120" w:type="dxa"/>
              <w:bottom w:w="120" w:type="dxa"/>
              <w:right w:w="120" w:type="dxa"/>
            </w:tcMar>
            <w:vAlign w:val="center"/>
            <w:hideMark/>
          </w:tcPr>
          <w:p w14:paraId="2A99189E" w14:textId="77777777" w:rsidR="00482FEA" w:rsidRPr="00482FEA" w:rsidRDefault="00482FEA" w:rsidP="00482FEA">
            <w:pPr>
              <w:pStyle w:val="BodyText"/>
            </w:pPr>
            <w:r w:rsidRPr="00482FEA">
              <w:t>0.00056</w:t>
            </w:r>
          </w:p>
        </w:tc>
      </w:tr>
      <w:tr w:rsidR="00482FEA" w:rsidRPr="00482FEA" w14:paraId="3B20D1A4" w14:textId="77777777" w:rsidTr="00161271">
        <w:trPr>
          <w:jc w:val="center"/>
        </w:trPr>
        <w:tc>
          <w:tcPr>
            <w:tcW w:w="0" w:type="auto"/>
            <w:shd w:val="clear" w:color="auto" w:fill="FFFFFF"/>
            <w:tcMar>
              <w:top w:w="120" w:type="dxa"/>
              <w:left w:w="120" w:type="dxa"/>
              <w:bottom w:w="120" w:type="dxa"/>
              <w:right w:w="120" w:type="dxa"/>
            </w:tcMar>
            <w:vAlign w:val="center"/>
            <w:hideMark/>
          </w:tcPr>
          <w:p w14:paraId="43D81E44" w14:textId="77777777" w:rsidR="00482FEA" w:rsidRPr="00482FEA" w:rsidRDefault="00482FEA" w:rsidP="00482FEA">
            <w:pPr>
              <w:pStyle w:val="BodyText"/>
              <w:rPr>
                <w:b/>
                <w:bCs/>
              </w:rPr>
            </w:pPr>
            <w:proofErr w:type="spellStart"/>
            <w:r w:rsidRPr="00482FEA">
              <w:rPr>
                <w:b/>
                <w:bCs/>
              </w:rPr>
              <w:t>RSS_SCM_diffusion</w:t>
            </w:r>
            <w:proofErr w:type="spellEnd"/>
          </w:p>
        </w:tc>
        <w:tc>
          <w:tcPr>
            <w:tcW w:w="0" w:type="auto"/>
            <w:shd w:val="clear" w:color="auto" w:fill="FFFFFF"/>
            <w:tcMar>
              <w:top w:w="120" w:type="dxa"/>
              <w:left w:w="120" w:type="dxa"/>
              <w:bottom w:w="120" w:type="dxa"/>
              <w:right w:w="120" w:type="dxa"/>
            </w:tcMar>
            <w:vAlign w:val="center"/>
            <w:hideMark/>
          </w:tcPr>
          <w:p w14:paraId="550DDD5C" w14:textId="77777777" w:rsidR="00482FEA" w:rsidRPr="00482FEA" w:rsidRDefault="00482FEA" w:rsidP="00482FEA">
            <w:pPr>
              <w:pStyle w:val="BodyText"/>
            </w:pPr>
            <w:r w:rsidRPr="00482FEA">
              <w:t>0.00000</w:t>
            </w:r>
          </w:p>
        </w:tc>
        <w:tc>
          <w:tcPr>
            <w:tcW w:w="0" w:type="auto"/>
            <w:shd w:val="clear" w:color="auto" w:fill="FFFFFF"/>
            <w:tcMar>
              <w:top w:w="120" w:type="dxa"/>
              <w:left w:w="120" w:type="dxa"/>
              <w:bottom w:w="120" w:type="dxa"/>
              <w:right w:w="120" w:type="dxa"/>
            </w:tcMar>
            <w:vAlign w:val="center"/>
            <w:hideMark/>
          </w:tcPr>
          <w:p w14:paraId="0FF1F747" w14:textId="77777777" w:rsidR="00482FEA" w:rsidRPr="00482FEA" w:rsidRDefault="00482FEA" w:rsidP="00482FEA">
            <w:pPr>
              <w:pStyle w:val="BodyText"/>
            </w:pPr>
            <w:r w:rsidRPr="00482FEA">
              <w:t>0.00001</w:t>
            </w:r>
          </w:p>
        </w:tc>
        <w:tc>
          <w:tcPr>
            <w:tcW w:w="0" w:type="auto"/>
            <w:shd w:val="clear" w:color="auto" w:fill="FFFFFF"/>
            <w:tcMar>
              <w:top w:w="120" w:type="dxa"/>
              <w:left w:w="120" w:type="dxa"/>
              <w:bottom w:w="120" w:type="dxa"/>
              <w:right w:w="120" w:type="dxa"/>
            </w:tcMar>
            <w:vAlign w:val="center"/>
            <w:hideMark/>
          </w:tcPr>
          <w:p w14:paraId="50A82500" w14:textId="77777777" w:rsidR="00482FEA" w:rsidRPr="00482FEA" w:rsidRDefault="00482FEA" w:rsidP="00482FEA">
            <w:pPr>
              <w:pStyle w:val="BodyText"/>
            </w:pPr>
            <w:r w:rsidRPr="00482FEA">
              <w:t>0.00005</w:t>
            </w:r>
          </w:p>
        </w:tc>
        <w:tc>
          <w:tcPr>
            <w:tcW w:w="0" w:type="auto"/>
            <w:shd w:val="clear" w:color="auto" w:fill="FFFFFF"/>
            <w:tcMar>
              <w:top w:w="120" w:type="dxa"/>
              <w:left w:w="120" w:type="dxa"/>
              <w:bottom w:w="120" w:type="dxa"/>
              <w:right w:w="120" w:type="dxa"/>
            </w:tcMar>
            <w:vAlign w:val="center"/>
            <w:hideMark/>
          </w:tcPr>
          <w:p w14:paraId="5DA05268" w14:textId="77777777" w:rsidR="00482FEA" w:rsidRPr="00482FEA" w:rsidRDefault="00482FEA" w:rsidP="00482FEA">
            <w:pPr>
              <w:pStyle w:val="BodyText"/>
            </w:pPr>
            <w:r w:rsidRPr="00482FEA">
              <w:t>0.00020</w:t>
            </w:r>
          </w:p>
        </w:tc>
        <w:tc>
          <w:tcPr>
            <w:tcW w:w="0" w:type="auto"/>
            <w:shd w:val="clear" w:color="auto" w:fill="FFFFFF"/>
            <w:tcMar>
              <w:top w:w="120" w:type="dxa"/>
              <w:left w:w="120" w:type="dxa"/>
              <w:bottom w:w="120" w:type="dxa"/>
              <w:right w:w="120" w:type="dxa"/>
            </w:tcMar>
            <w:vAlign w:val="center"/>
            <w:hideMark/>
          </w:tcPr>
          <w:p w14:paraId="6A863EB7" w14:textId="77777777" w:rsidR="00482FEA" w:rsidRPr="00482FEA" w:rsidRDefault="00482FEA" w:rsidP="00482FEA">
            <w:pPr>
              <w:pStyle w:val="BodyText"/>
            </w:pPr>
            <w:r w:rsidRPr="00482FEA">
              <w:t>0.00109</w:t>
            </w:r>
          </w:p>
        </w:tc>
      </w:tr>
      <w:tr w:rsidR="00482FEA" w:rsidRPr="00482FEA" w14:paraId="6F0733AC" w14:textId="77777777" w:rsidTr="00161271">
        <w:trPr>
          <w:jc w:val="center"/>
        </w:trPr>
        <w:tc>
          <w:tcPr>
            <w:tcW w:w="0" w:type="auto"/>
            <w:shd w:val="clear" w:color="auto" w:fill="FFFFFF"/>
            <w:tcMar>
              <w:top w:w="120" w:type="dxa"/>
              <w:left w:w="120" w:type="dxa"/>
              <w:bottom w:w="120" w:type="dxa"/>
              <w:right w:w="120" w:type="dxa"/>
            </w:tcMar>
            <w:vAlign w:val="center"/>
            <w:hideMark/>
          </w:tcPr>
          <w:p w14:paraId="75174E47" w14:textId="77777777" w:rsidR="00482FEA" w:rsidRPr="00482FEA" w:rsidRDefault="00482FEA" w:rsidP="00482FEA">
            <w:pPr>
              <w:pStyle w:val="BodyText"/>
              <w:rPr>
                <w:b/>
                <w:bCs/>
              </w:rPr>
            </w:pPr>
            <w:proofErr w:type="spellStart"/>
            <w:r w:rsidRPr="00482FEA">
              <w:rPr>
                <w:b/>
                <w:bCs/>
              </w:rPr>
              <w:t>RSS_Avrami</w:t>
            </w:r>
            <w:proofErr w:type="spellEnd"/>
          </w:p>
        </w:tc>
        <w:tc>
          <w:tcPr>
            <w:tcW w:w="0" w:type="auto"/>
            <w:shd w:val="clear" w:color="auto" w:fill="FFFFFF"/>
            <w:tcMar>
              <w:top w:w="120" w:type="dxa"/>
              <w:left w:w="120" w:type="dxa"/>
              <w:bottom w:w="120" w:type="dxa"/>
              <w:right w:w="120" w:type="dxa"/>
            </w:tcMar>
            <w:vAlign w:val="center"/>
            <w:hideMark/>
          </w:tcPr>
          <w:p w14:paraId="1A22E17F" w14:textId="77777777" w:rsidR="00482FEA" w:rsidRPr="00482FEA" w:rsidRDefault="00482FEA" w:rsidP="00482FEA">
            <w:pPr>
              <w:pStyle w:val="BodyText"/>
            </w:pPr>
            <w:r w:rsidRPr="00482FEA">
              <w:t>0.03437</w:t>
            </w:r>
          </w:p>
        </w:tc>
        <w:tc>
          <w:tcPr>
            <w:tcW w:w="0" w:type="auto"/>
            <w:shd w:val="clear" w:color="auto" w:fill="FFFFFF"/>
            <w:tcMar>
              <w:top w:w="120" w:type="dxa"/>
              <w:left w:w="120" w:type="dxa"/>
              <w:bottom w:w="120" w:type="dxa"/>
              <w:right w:w="120" w:type="dxa"/>
            </w:tcMar>
            <w:vAlign w:val="center"/>
            <w:hideMark/>
          </w:tcPr>
          <w:p w14:paraId="47318799" w14:textId="77777777" w:rsidR="00482FEA" w:rsidRPr="00482FEA" w:rsidRDefault="00482FEA" w:rsidP="00482FEA">
            <w:pPr>
              <w:pStyle w:val="BodyText"/>
            </w:pPr>
            <w:r w:rsidRPr="00482FEA">
              <w:t>0.03814</w:t>
            </w:r>
          </w:p>
        </w:tc>
        <w:tc>
          <w:tcPr>
            <w:tcW w:w="0" w:type="auto"/>
            <w:shd w:val="clear" w:color="auto" w:fill="FFFFFF"/>
            <w:tcMar>
              <w:top w:w="120" w:type="dxa"/>
              <w:left w:w="120" w:type="dxa"/>
              <w:bottom w:w="120" w:type="dxa"/>
              <w:right w:w="120" w:type="dxa"/>
            </w:tcMar>
            <w:vAlign w:val="center"/>
            <w:hideMark/>
          </w:tcPr>
          <w:p w14:paraId="522BD6D7" w14:textId="77777777" w:rsidR="00482FEA" w:rsidRPr="00482FEA" w:rsidRDefault="00482FEA" w:rsidP="00482FEA">
            <w:pPr>
              <w:pStyle w:val="BodyText"/>
            </w:pPr>
            <w:r w:rsidRPr="00482FEA">
              <w:t>0.01819</w:t>
            </w:r>
          </w:p>
        </w:tc>
        <w:tc>
          <w:tcPr>
            <w:tcW w:w="0" w:type="auto"/>
            <w:shd w:val="clear" w:color="auto" w:fill="FFFFFF"/>
            <w:tcMar>
              <w:top w:w="120" w:type="dxa"/>
              <w:left w:w="120" w:type="dxa"/>
              <w:bottom w:w="120" w:type="dxa"/>
              <w:right w:w="120" w:type="dxa"/>
            </w:tcMar>
            <w:vAlign w:val="center"/>
            <w:hideMark/>
          </w:tcPr>
          <w:p w14:paraId="76DDE346" w14:textId="77777777" w:rsidR="00482FEA" w:rsidRPr="00482FEA" w:rsidRDefault="00482FEA" w:rsidP="00482FEA">
            <w:pPr>
              <w:pStyle w:val="BodyText"/>
            </w:pPr>
            <w:r w:rsidRPr="00482FEA">
              <w:t>0.00366</w:t>
            </w:r>
          </w:p>
        </w:tc>
        <w:tc>
          <w:tcPr>
            <w:tcW w:w="0" w:type="auto"/>
            <w:shd w:val="clear" w:color="auto" w:fill="FFFFFF"/>
            <w:tcMar>
              <w:top w:w="120" w:type="dxa"/>
              <w:left w:w="120" w:type="dxa"/>
              <w:bottom w:w="120" w:type="dxa"/>
              <w:right w:w="120" w:type="dxa"/>
            </w:tcMar>
            <w:vAlign w:val="center"/>
            <w:hideMark/>
          </w:tcPr>
          <w:p w14:paraId="3964E738" w14:textId="77777777" w:rsidR="00482FEA" w:rsidRPr="00482FEA" w:rsidRDefault="00482FEA" w:rsidP="00482FEA">
            <w:pPr>
              <w:pStyle w:val="BodyText"/>
            </w:pPr>
            <w:r w:rsidRPr="00482FEA">
              <w:t>0.06383</w:t>
            </w:r>
          </w:p>
        </w:tc>
      </w:tr>
      <w:tr w:rsidR="00482FEA" w:rsidRPr="00482FEA" w14:paraId="5B9F54B5" w14:textId="77777777" w:rsidTr="00161271">
        <w:trPr>
          <w:jc w:val="center"/>
        </w:trPr>
        <w:tc>
          <w:tcPr>
            <w:tcW w:w="0" w:type="auto"/>
            <w:shd w:val="clear" w:color="auto" w:fill="FFFFFF"/>
            <w:tcMar>
              <w:top w:w="120" w:type="dxa"/>
              <w:left w:w="120" w:type="dxa"/>
              <w:bottom w:w="120" w:type="dxa"/>
              <w:right w:w="120" w:type="dxa"/>
            </w:tcMar>
            <w:vAlign w:val="center"/>
            <w:hideMark/>
          </w:tcPr>
          <w:p w14:paraId="02562FA5" w14:textId="77777777" w:rsidR="00482FEA" w:rsidRPr="00482FEA" w:rsidRDefault="00482FEA" w:rsidP="00482FEA">
            <w:pPr>
              <w:pStyle w:val="BodyText"/>
              <w:rPr>
                <w:b/>
                <w:bCs/>
              </w:rPr>
            </w:pPr>
            <w:proofErr w:type="spellStart"/>
            <w:r w:rsidRPr="00482FEA">
              <w:rPr>
                <w:b/>
                <w:bCs/>
              </w:rPr>
              <w:t>RMSE_SCM_surface</w:t>
            </w:r>
            <w:proofErr w:type="spellEnd"/>
          </w:p>
        </w:tc>
        <w:tc>
          <w:tcPr>
            <w:tcW w:w="0" w:type="auto"/>
            <w:shd w:val="clear" w:color="auto" w:fill="FFFFFF"/>
            <w:tcMar>
              <w:top w:w="120" w:type="dxa"/>
              <w:left w:w="120" w:type="dxa"/>
              <w:bottom w:w="120" w:type="dxa"/>
              <w:right w:w="120" w:type="dxa"/>
            </w:tcMar>
            <w:vAlign w:val="center"/>
            <w:hideMark/>
          </w:tcPr>
          <w:p w14:paraId="3F6E7E9F" w14:textId="77777777" w:rsidR="00482FEA" w:rsidRPr="00482FEA" w:rsidRDefault="00482FEA" w:rsidP="00482FEA">
            <w:pPr>
              <w:pStyle w:val="BodyText"/>
            </w:pPr>
            <w:r w:rsidRPr="00482FEA">
              <w:t>0.00192</w:t>
            </w:r>
          </w:p>
        </w:tc>
        <w:tc>
          <w:tcPr>
            <w:tcW w:w="0" w:type="auto"/>
            <w:shd w:val="clear" w:color="auto" w:fill="FFFFFF"/>
            <w:tcMar>
              <w:top w:w="120" w:type="dxa"/>
              <w:left w:w="120" w:type="dxa"/>
              <w:bottom w:w="120" w:type="dxa"/>
              <w:right w:w="120" w:type="dxa"/>
            </w:tcMar>
            <w:vAlign w:val="center"/>
            <w:hideMark/>
          </w:tcPr>
          <w:p w14:paraId="0CFC5DA7" w14:textId="77777777" w:rsidR="00482FEA" w:rsidRPr="00482FEA" w:rsidRDefault="00482FEA" w:rsidP="00482FEA">
            <w:pPr>
              <w:pStyle w:val="BodyText"/>
            </w:pPr>
            <w:r w:rsidRPr="00482FEA">
              <w:t>0.00549</w:t>
            </w:r>
          </w:p>
        </w:tc>
        <w:tc>
          <w:tcPr>
            <w:tcW w:w="0" w:type="auto"/>
            <w:shd w:val="clear" w:color="auto" w:fill="FFFFFF"/>
            <w:tcMar>
              <w:top w:w="120" w:type="dxa"/>
              <w:left w:w="120" w:type="dxa"/>
              <w:bottom w:w="120" w:type="dxa"/>
              <w:right w:w="120" w:type="dxa"/>
            </w:tcMar>
            <w:vAlign w:val="center"/>
            <w:hideMark/>
          </w:tcPr>
          <w:p w14:paraId="48A18983" w14:textId="77777777" w:rsidR="00482FEA" w:rsidRPr="00482FEA" w:rsidRDefault="00482FEA" w:rsidP="00482FEA">
            <w:pPr>
              <w:pStyle w:val="BodyText"/>
            </w:pPr>
            <w:r w:rsidRPr="00482FEA">
              <w:t>0.00920</w:t>
            </w:r>
          </w:p>
        </w:tc>
        <w:tc>
          <w:tcPr>
            <w:tcW w:w="0" w:type="auto"/>
            <w:shd w:val="clear" w:color="auto" w:fill="FFFFFF"/>
            <w:tcMar>
              <w:top w:w="120" w:type="dxa"/>
              <w:left w:w="120" w:type="dxa"/>
              <w:bottom w:w="120" w:type="dxa"/>
              <w:right w:w="120" w:type="dxa"/>
            </w:tcMar>
            <w:vAlign w:val="center"/>
            <w:hideMark/>
          </w:tcPr>
          <w:p w14:paraId="7825491E" w14:textId="77777777" w:rsidR="00482FEA" w:rsidRPr="00482FEA" w:rsidRDefault="00482FEA" w:rsidP="00482FEA">
            <w:pPr>
              <w:pStyle w:val="BodyText"/>
            </w:pPr>
            <w:r w:rsidRPr="00482FEA">
              <w:t>0.01148</w:t>
            </w:r>
          </w:p>
        </w:tc>
        <w:tc>
          <w:tcPr>
            <w:tcW w:w="0" w:type="auto"/>
            <w:shd w:val="clear" w:color="auto" w:fill="FFFFFF"/>
            <w:tcMar>
              <w:top w:w="120" w:type="dxa"/>
              <w:left w:w="120" w:type="dxa"/>
              <w:bottom w:w="120" w:type="dxa"/>
              <w:right w:w="120" w:type="dxa"/>
            </w:tcMar>
            <w:vAlign w:val="center"/>
            <w:hideMark/>
          </w:tcPr>
          <w:p w14:paraId="4972FEA1" w14:textId="77777777" w:rsidR="00482FEA" w:rsidRPr="00482FEA" w:rsidRDefault="00482FEA" w:rsidP="00482FEA">
            <w:pPr>
              <w:pStyle w:val="BodyText"/>
            </w:pPr>
            <w:r w:rsidRPr="00482FEA">
              <w:t>0.00747</w:t>
            </w:r>
          </w:p>
        </w:tc>
      </w:tr>
      <w:tr w:rsidR="00482FEA" w:rsidRPr="00482FEA" w14:paraId="633B5787" w14:textId="77777777" w:rsidTr="00161271">
        <w:trPr>
          <w:jc w:val="center"/>
        </w:trPr>
        <w:tc>
          <w:tcPr>
            <w:tcW w:w="0" w:type="auto"/>
            <w:shd w:val="clear" w:color="auto" w:fill="FFFFFF"/>
            <w:tcMar>
              <w:top w:w="120" w:type="dxa"/>
              <w:left w:w="120" w:type="dxa"/>
              <w:bottom w:w="120" w:type="dxa"/>
              <w:right w:w="120" w:type="dxa"/>
            </w:tcMar>
            <w:vAlign w:val="center"/>
            <w:hideMark/>
          </w:tcPr>
          <w:p w14:paraId="0A818504" w14:textId="77777777" w:rsidR="00482FEA" w:rsidRPr="00482FEA" w:rsidRDefault="00482FEA" w:rsidP="00482FEA">
            <w:pPr>
              <w:pStyle w:val="BodyText"/>
              <w:rPr>
                <w:b/>
                <w:bCs/>
              </w:rPr>
            </w:pPr>
            <w:proofErr w:type="spellStart"/>
            <w:r w:rsidRPr="00482FEA">
              <w:rPr>
                <w:b/>
                <w:bCs/>
              </w:rPr>
              <w:lastRenderedPageBreak/>
              <w:t>RMSE_SCM_diffusion</w:t>
            </w:r>
            <w:proofErr w:type="spellEnd"/>
          </w:p>
        </w:tc>
        <w:tc>
          <w:tcPr>
            <w:tcW w:w="0" w:type="auto"/>
            <w:shd w:val="clear" w:color="auto" w:fill="FFFFFF"/>
            <w:tcMar>
              <w:top w:w="120" w:type="dxa"/>
              <w:left w:w="120" w:type="dxa"/>
              <w:bottom w:w="120" w:type="dxa"/>
              <w:right w:w="120" w:type="dxa"/>
            </w:tcMar>
            <w:vAlign w:val="center"/>
            <w:hideMark/>
          </w:tcPr>
          <w:p w14:paraId="25D89517" w14:textId="77777777" w:rsidR="00482FEA" w:rsidRPr="00482FEA" w:rsidRDefault="00482FEA" w:rsidP="00482FEA">
            <w:pPr>
              <w:pStyle w:val="BodyText"/>
            </w:pPr>
            <w:r w:rsidRPr="00482FEA">
              <w:t>0.00015</w:t>
            </w:r>
          </w:p>
        </w:tc>
        <w:tc>
          <w:tcPr>
            <w:tcW w:w="0" w:type="auto"/>
            <w:shd w:val="clear" w:color="auto" w:fill="FFFFFF"/>
            <w:tcMar>
              <w:top w:w="120" w:type="dxa"/>
              <w:left w:w="120" w:type="dxa"/>
              <w:bottom w:w="120" w:type="dxa"/>
              <w:right w:w="120" w:type="dxa"/>
            </w:tcMar>
            <w:vAlign w:val="center"/>
            <w:hideMark/>
          </w:tcPr>
          <w:p w14:paraId="00DC5466" w14:textId="77777777" w:rsidR="00482FEA" w:rsidRPr="00482FEA" w:rsidRDefault="00482FEA" w:rsidP="00482FEA">
            <w:pPr>
              <w:pStyle w:val="BodyText"/>
            </w:pPr>
            <w:r w:rsidRPr="00482FEA">
              <w:t>0.00099</w:t>
            </w:r>
          </w:p>
        </w:tc>
        <w:tc>
          <w:tcPr>
            <w:tcW w:w="0" w:type="auto"/>
            <w:shd w:val="clear" w:color="auto" w:fill="FFFFFF"/>
            <w:tcMar>
              <w:top w:w="120" w:type="dxa"/>
              <w:left w:w="120" w:type="dxa"/>
              <w:bottom w:w="120" w:type="dxa"/>
              <w:right w:w="120" w:type="dxa"/>
            </w:tcMar>
            <w:vAlign w:val="center"/>
            <w:hideMark/>
          </w:tcPr>
          <w:p w14:paraId="1F9E73A5" w14:textId="77777777" w:rsidR="00482FEA" w:rsidRPr="00482FEA" w:rsidRDefault="00482FEA" w:rsidP="00482FEA">
            <w:pPr>
              <w:pStyle w:val="BodyText"/>
            </w:pPr>
            <w:r w:rsidRPr="00482FEA">
              <w:t>0.00226</w:t>
            </w:r>
          </w:p>
        </w:tc>
        <w:tc>
          <w:tcPr>
            <w:tcW w:w="0" w:type="auto"/>
            <w:shd w:val="clear" w:color="auto" w:fill="FFFFFF"/>
            <w:tcMar>
              <w:top w:w="120" w:type="dxa"/>
              <w:left w:w="120" w:type="dxa"/>
              <w:bottom w:w="120" w:type="dxa"/>
              <w:right w:w="120" w:type="dxa"/>
            </w:tcMar>
            <w:vAlign w:val="center"/>
            <w:hideMark/>
          </w:tcPr>
          <w:p w14:paraId="1CC74953" w14:textId="77777777" w:rsidR="00482FEA" w:rsidRPr="00482FEA" w:rsidRDefault="00482FEA" w:rsidP="00482FEA">
            <w:pPr>
              <w:pStyle w:val="BodyText"/>
            </w:pPr>
            <w:r w:rsidRPr="00482FEA">
              <w:t>0.00448</w:t>
            </w:r>
          </w:p>
        </w:tc>
        <w:tc>
          <w:tcPr>
            <w:tcW w:w="0" w:type="auto"/>
            <w:shd w:val="clear" w:color="auto" w:fill="FFFFFF"/>
            <w:tcMar>
              <w:top w:w="120" w:type="dxa"/>
              <w:left w:w="120" w:type="dxa"/>
              <w:bottom w:w="120" w:type="dxa"/>
              <w:right w:w="120" w:type="dxa"/>
            </w:tcMar>
            <w:vAlign w:val="center"/>
            <w:hideMark/>
          </w:tcPr>
          <w:p w14:paraId="2454C5F7" w14:textId="77777777" w:rsidR="00482FEA" w:rsidRPr="00482FEA" w:rsidRDefault="00482FEA" w:rsidP="00482FEA">
            <w:pPr>
              <w:pStyle w:val="BodyText"/>
            </w:pPr>
            <w:r w:rsidRPr="00482FEA">
              <w:t>0.01042</w:t>
            </w:r>
          </w:p>
        </w:tc>
      </w:tr>
      <w:tr w:rsidR="00482FEA" w:rsidRPr="00482FEA" w14:paraId="249CBB81" w14:textId="77777777" w:rsidTr="00161271">
        <w:trPr>
          <w:jc w:val="center"/>
        </w:trPr>
        <w:tc>
          <w:tcPr>
            <w:tcW w:w="0" w:type="auto"/>
            <w:shd w:val="clear" w:color="auto" w:fill="FFFFFF"/>
            <w:tcMar>
              <w:top w:w="120" w:type="dxa"/>
              <w:left w:w="120" w:type="dxa"/>
              <w:bottom w:w="120" w:type="dxa"/>
              <w:right w:w="120" w:type="dxa"/>
            </w:tcMar>
            <w:vAlign w:val="center"/>
            <w:hideMark/>
          </w:tcPr>
          <w:p w14:paraId="7699C07A" w14:textId="77777777" w:rsidR="00482FEA" w:rsidRPr="00482FEA" w:rsidRDefault="00482FEA" w:rsidP="00482FEA">
            <w:pPr>
              <w:pStyle w:val="BodyText"/>
              <w:rPr>
                <w:b/>
                <w:bCs/>
              </w:rPr>
            </w:pPr>
            <w:proofErr w:type="spellStart"/>
            <w:r w:rsidRPr="00482FEA">
              <w:rPr>
                <w:b/>
                <w:bCs/>
              </w:rPr>
              <w:t>RMSE_Avrami</w:t>
            </w:r>
            <w:proofErr w:type="spellEnd"/>
          </w:p>
        </w:tc>
        <w:tc>
          <w:tcPr>
            <w:tcW w:w="0" w:type="auto"/>
            <w:shd w:val="clear" w:color="auto" w:fill="FFFFFF"/>
            <w:tcMar>
              <w:top w:w="120" w:type="dxa"/>
              <w:left w:w="120" w:type="dxa"/>
              <w:bottom w:w="120" w:type="dxa"/>
              <w:right w:w="120" w:type="dxa"/>
            </w:tcMar>
            <w:vAlign w:val="center"/>
            <w:hideMark/>
          </w:tcPr>
          <w:p w14:paraId="0379F62B" w14:textId="77777777" w:rsidR="00482FEA" w:rsidRPr="00482FEA" w:rsidRDefault="00482FEA" w:rsidP="00482FEA">
            <w:pPr>
              <w:pStyle w:val="BodyText"/>
            </w:pPr>
            <w:r w:rsidRPr="00482FEA">
              <w:t>0.05863</w:t>
            </w:r>
          </w:p>
        </w:tc>
        <w:tc>
          <w:tcPr>
            <w:tcW w:w="0" w:type="auto"/>
            <w:shd w:val="clear" w:color="auto" w:fill="FFFFFF"/>
            <w:tcMar>
              <w:top w:w="120" w:type="dxa"/>
              <w:left w:w="120" w:type="dxa"/>
              <w:bottom w:w="120" w:type="dxa"/>
              <w:right w:w="120" w:type="dxa"/>
            </w:tcMar>
            <w:vAlign w:val="center"/>
            <w:hideMark/>
          </w:tcPr>
          <w:p w14:paraId="78E58E2F" w14:textId="77777777" w:rsidR="00482FEA" w:rsidRPr="00482FEA" w:rsidRDefault="00482FEA" w:rsidP="00482FEA">
            <w:pPr>
              <w:pStyle w:val="BodyText"/>
            </w:pPr>
            <w:r w:rsidRPr="00482FEA">
              <w:t>0.06176</w:t>
            </w:r>
          </w:p>
        </w:tc>
        <w:tc>
          <w:tcPr>
            <w:tcW w:w="0" w:type="auto"/>
            <w:shd w:val="clear" w:color="auto" w:fill="FFFFFF"/>
            <w:tcMar>
              <w:top w:w="120" w:type="dxa"/>
              <w:left w:w="120" w:type="dxa"/>
              <w:bottom w:w="120" w:type="dxa"/>
              <w:right w:w="120" w:type="dxa"/>
            </w:tcMar>
            <w:vAlign w:val="center"/>
            <w:hideMark/>
          </w:tcPr>
          <w:p w14:paraId="198C949E" w14:textId="77777777" w:rsidR="00482FEA" w:rsidRPr="00482FEA" w:rsidRDefault="00482FEA" w:rsidP="00482FEA">
            <w:pPr>
              <w:pStyle w:val="BodyText"/>
            </w:pPr>
            <w:r w:rsidRPr="00482FEA">
              <w:t>0.04265</w:t>
            </w:r>
          </w:p>
        </w:tc>
        <w:tc>
          <w:tcPr>
            <w:tcW w:w="0" w:type="auto"/>
            <w:shd w:val="clear" w:color="auto" w:fill="FFFFFF"/>
            <w:tcMar>
              <w:top w:w="120" w:type="dxa"/>
              <w:left w:w="120" w:type="dxa"/>
              <w:bottom w:w="120" w:type="dxa"/>
              <w:right w:w="120" w:type="dxa"/>
            </w:tcMar>
            <w:vAlign w:val="center"/>
            <w:hideMark/>
          </w:tcPr>
          <w:p w14:paraId="412E2879" w14:textId="77777777" w:rsidR="00482FEA" w:rsidRPr="00482FEA" w:rsidRDefault="00482FEA" w:rsidP="00482FEA">
            <w:pPr>
              <w:pStyle w:val="BodyText"/>
            </w:pPr>
            <w:r w:rsidRPr="00482FEA">
              <w:t>0.01914</w:t>
            </w:r>
          </w:p>
        </w:tc>
        <w:tc>
          <w:tcPr>
            <w:tcW w:w="0" w:type="auto"/>
            <w:shd w:val="clear" w:color="auto" w:fill="FFFFFF"/>
            <w:tcMar>
              <w:top w:w="120" w:type="dxa"/>
              <w:left w:w="120" w:type="dxa"/>
              <w:bottom w:w="120" w:type="dxa"/>
              <w:right w:w="120" w:type="dxa"/>
            </w:tcMar>
            <w:vAlign w:val="center"/>
            <w:hideMark/>
          </w:tcPr>
          <w:p w14:paraId="22D370D7" w14:textId="77777777" w:rsidR="00482FEA" w:rsidRPr="00482FEA" w:rsidRDefault="00482FEA" w:rsidP="00482FEA">
            <w:pPr>
              <w:pStyle w:val="BodyText"/>
            </w:pPr>
            <w:r w:rsidRPr="00482FEA">
              <w:t>0.07989</w:t>
            </w:r>
          </w:p>
        </w:tc>
      </w:tr>
    </w:tbl>
    <w:p w14:paraId="5C030B63" w14:textId="01FDB2DD" w:rsidR="00B90D13" w:rsidRDefault="00B90D13" w:rsidP="00065E10">
      <w:pPr>
        <w:pStyle w:val="BodyText"/>
      </w:pPr>
    </w:p>
    <w:p w14:paraId="2529938F" w14:textId="77777777" w:rsidR="00161271" w:rsidRDefault="00161271" w:rsidP="00065E10">
      <w:pPr>
        <w:pStyle w:val="BodyText"/>
      </w:pPr>
    </w:p>
    <w:p w14:paraId="19208F63" w14:textId="77777777" w:rsidR="00161271" w:rsidRDefault="00161271" w:rsidP="00065E10">
      <w:pPr>
        <w:pStyle w:val="BodyText"/>
      </w:pPr>
    </w:p>
    <w:p w14:paraId="034AFB7F" w14:textId="61030190" w:rsidR="00973E69" w:rsidRDefault="00973E69" w:rsidP="00065E10">
      <w:pPr>
        <w:pStyle w:val="BodyText"/>
      </w:pPr>
      <w:r>
        <w:rPr>
          <w:noProof/>
        </w:rPr>
        <w:lastRenderedPageBreak/>
        <w:drawing>
          <wp:inline distT="0" distB="0" distL="0" distR="0" wp14:anchorId="4B5FD5F1" wp14:editId="407AB782">
            <wp:extent cx="5972810" cy="7065010"/>
            <wp:effectExtent l="0" t="0" r="889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72810" cy="7065010"/>
                    </a:xfrm>
                    <a:prstGeom prst="rect">
                      <a:avLst/>
                    </a:prstGeom>
                  </pic:spPr>
                </pic:pic>
              </a:graphicData>
            </a:graphic>
          </wp:inline>
        </w:drawing>
      </w:r>
    </w:p>
    <w:p w14:paraId="164AF772" w14:textId="00D78426" w:rsidR="0033634E" w:rsidRDefault="00973E69" w:rsidP="00755D3F">
      <w:pPr>
        <w:pStyle w:val="Caption"/>
        <w:jc w:val="center"/>
      </w:pPr>
      <w:bookmarkStart w:id="23" w:name="_Ref231482491"/>
      <w:proofErr w:type="spellStart"/>
      <w:r>
        <w:t>FigureS</w:t>
      </w:r>
      <w:proofErr w:type="spellEnd"/>
      <w:r>
        <w:t xml:space="preserve"> </w:t>
      </w:r>
      <w:r>
        <w:fldChar w:fldCharType="begin"/>
      </w:r>
      <w:r>
        <w:instrText xml:space="preserve"> SEQ FigureS \* ARABIC </w:instrText>
      </w:r>
      <w:r>
        <w:fldChar w:fldCharType="separate"/>
      </w:r>
      <w:r w:rsidR="00A27D86">
        <w:rPr>
          <w:noProof/>
        </w:rPr>
        <w:t>1</w:t>
      </w:r>
      <w:r>
        <w:fldChar w:fldCharType="end"/>
      </w:r>
      <w:bookmarkEnd w:id="23"/>
      <w:r w:rsidR="0073580D">
        <w:t xml:space="preserve"> </w:t>
      </w:r>
      <w:r w:rsidR="0033634E" w:rsidRPr="0033634E">
        <w:t xml:space="preserve">Residual distributions for the applied kinetic models for wet wollastonite carbonation. Panels (a), (c), and (e) show the residuals for the temperature-dependent dataset at 25°C, 45°C, 60°C, 75°C, and 90°C, while panels (b), (d), and (f) show the corresponding residuals for the particle-size comparison of fine and coarse wollastonite at 90°C. The rows correspond to the </w:t>
      </w:r>
      <w:proofErr w:type="spellStart"/>
      <w:r w:rsidR="0033634E" w:rsidRPr="0033634E">
        <w:t>Avrami</w:t>
      </w:r>
      <w:proofErr w:type="spellEnd"/>
      <w:r w:rsidR="0033634E" w:rsidRPr="0033634E">
        <w:t xml:space="preserve"> model (a, b), shrinking-core model (SCM) surface chemical reaction control (c, d), and SCM diffusion control (e, f). These plots provide a supplementary assessment of model adequacy and the distribution of deviations between experimental and fitted values.</w:t>
      </w:r>
    </w:p>
    <w:p w14:paraId="143AEB26" w14:textId="7A9E3F34" w:rsidR="00755D3F" w:rsidRDefault="00755D3F" w:rsidP="00755D3F">
      <w:pPr>
        <w:pStyle w:val="Caption"/>
        <w:jc w:val="center"/>
      </w:pPr>
      <w:proofErr w:type="spellStart"/>
      <w:r>
        <w:lastRenderedPageBreak/>
        <w:t>TableS</w:t>
      </w:r>
      <w:proofErr w:type="spellEnd"/>
      <w:r>
        <w:t xml:space="preserve"> </w:t>
      </w:r>
      <w:r>
        <w:fldChar w:fldCharType="begin"/>
      </w:r>
      <w:r>
        <w:instrText xml:space="preserve"> SEQ TableS \* ARABIC </w:instrText>
      </w:r>
      <w:r>
        <w:fldChar w:fldCharType="separate"/>
      </w:r>
      <w:r>
        <w:rPr>
          <w:noProof/>
        </w:rPr>
        <w:t>6</w:t>
      </w:r>
      <w:r>
        <w:fldChar w:fldCharType="end"/>
      </w:r>
      <w:r w:rsidRPr="00755D3F">
        <w:t xml:space="preserve">Segmented Arrhenius parameters calculated from the temperature-dependent rate constants of the SCM surface-reaction, SCM diffusion, and corrected </w:t>
      </w:r>
      <w:proofErr w:type="spellStart"/>
      <w:r w:rsidRPr="00755D3F">
        <w:t>Avrami</w:t>
      </w:r>
      <w:proofErr w:type="spellEnd"/>
      <w:r w:rsidRPr="00755D3F">
        <w:t xml:space="preserve"> models. The table reports apparent activation energies </w:t>
      </w:r>
      <w:proofErr w:type="spellStart"/>
      <w:r w:rsidRPr="00755D3F">
        <w:t>Ea</w:t>
      </w:r>
      <w:proofErr w:type="spellEnd"/>
      <w:r w:rsidRPr="00755D3F">
        <w:t>​, regression coefficients, slopes, and intercepts for the three temperature intervals: Stage I (25–</w:t>
      </w:r>
      <w:proofErr w:type="gramStart"/>
      <w:r w:rsidRPr="00755D3F">
        <w:t>45)°</w:t>
      </w:r>
      <w:proofErr w:type="gramEnd"/>
      <w:r w:rsidRPr="00755D3F">
        <w:t>C, Stage II (45–75)°C, and Stage III (75–90)°C. Note that R</w:t>
      </w:r>
      <w:r w:rsidRPr="00755D3F">
        <w:rPr>
          <w:vertAlign w:val="superscript"/>
        </w:rPr>
        <w:t>2</w:t>
      </w:r>
      <w:r w:rsidRPr="00755D3F">
        <w:t>=1 for two-point intervals and should not be overinterpreted.</w:t>
      </w:r>
    </w:p>
    <w:p w14:paraId="0B7CE162" w14:textId="77777777" w:rsidR="00755D3F" w:rsidRDefault="00755D3F" w:rsidP="00755D3F">
      <w:pPr>
        <w:pStyle w:val="Caption"/>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065"/>
        <w:gridCol w:w="1890"/>
        <w:gridCol w:w="1663"/>
        <w:gridCol w:w="1057"/>
        <w:gridCol w:w="1554"/>
        <w:gridCol w:w="1167"/>
      </w:tblGrid>
      <w:tr w:rsidR="004E13C3" w:rsidRPr="00161271" w14:paraId="7A7333BB" w14:textId="77777777" w:rsidTr="008B2594">
        <w:trPr>
          <w:tblHeader/>
        </w:trPr>
        <w:tc>
          <w:tcPr>
            <w:tcW w:w="2065" w:type="dxa"/>
            <w:shd w:val="clear" w:color="auto" w:fill="FFFFFF"/>
            <w:tcMar>
              <w:top w:w="120" w:type="dxa"/>
              <w:left w:w="120" w:type="dxa"/>
              <w:bottom w:w="120" w:type="dxa"/>
              <w:right w:w="120" w:type="dxa"/>
            </w:tcMar>
            <w:vAlign w:val="center"/>
            <w:hideMark/>
          </w:tcPr>
          <w:p w14:paraId="5A978992" w14:textId="77777777" w:rsidR="004E13C3" w:rsidRPr="00161271" w:rsidRDefault="004E13C3" w:rsidP="008B2594">
            <w:pPr>
              <w:pStyle w:val="BodyText"/>
              <w:rPr>
                <w:b/>
                <w:bCs/>
                <w:sz w:val="20"/>
                <w:szCs w:val="20"/>
              </w:rPr>
            </w:pPr>
            <w:r w:rsidRPr="00161271">
              <w:rPr>
                <w:b/>
                <w:bCs/>
                <w:sz w:val="20"/>
                <w:szCs w:val="20"/>
              </w:rPr>
              <w:t>Model</w:t>
            </w:r>
          </w:p>
        </w:tc>
        <w:tc>
          <w:tcPr>
            <w:tcW w:w="1890" w:type="dxa"/>
            <w:shd w:val="clear" w:color="auto" w:fill="FFFFFF"/>
            <w:tcMar>
              <w:top w:w="120" w:type="dxa"/>
              <w:left w:w="120" w:type="dxa"/>
              <w:bottom w:w="120" w:type="dxa"/>
              <w:right w:w="120" w:type="dxa"/>
            </w:tcMar>
            <w:vAlign w:val="center"/>
            <w:hideMark/>
          </w:tcPr>
          <w:p w14:paraId="02857D7C" w14:textId="77777777" w:rsidR="004E13C3" w:rsidRPr="00161271" w:rsidRDefault="004E13C3" w:rsidP="008B2594">
            <w:pPr>
              <w:pStyle w:val="BodyText"/>
              <w:rPr>
                <w:b/>
                <w:bCs/>
                <w:sz w:val="20"/>
                <w:szCs w:val="20"/>
              </w:rPr>
            </w:pPr>
            <w:r w:rsidRPr="00161271">
              <w:rPr>
                <w:b/>
                <w:bCs/>
                <w:sz w:val="20"/>
                <w:szCs w:val="20"/>
              </w:rPr>
              <w:t>Stage</w:t>
            </w:r>
          </w:p>
        </w:tc>
        <w:tc>
          <w:tcPr>
            <w:tcW w:w="1663" w:type="dxa"/>
            <w:shd w:val="clear" w:color="auto" w:fill="FFFFFF"/>
            <w:tcMar>
              <w:top w:w="120" w:type="dxa"/>
              <w:left w:w="120" w:type="dxa"/>
              <w:bottom w:w="120" w:type="dxa"/>
              <w:right w:w="120" w:type="dxa"/>
            </w:tcMar>
            <w:vAlign w:val="center"/>
            <w:hideMark/>
          </w:tcPr>
          <w:p w14:paraId="562BB08C" w14:textId="77777777" w:rsidR="004E13C3" w:rsidRPr="00161271" w:rsidRDefault="004E13C3" w:rsidP="008B2594">
            <w:pPr>
              <w:pStyle w:val="BodyText"/>
              <w:rPr>
                <w:b/>
                <w:bCs/>
                <w:sz w:val="20"/>
                <w:szCs w:val="20"/>
              </w:rPr>
            </w:pPr>
            <w:proofErr w:type="spellStart"/>
            <w:r w:rsidRPr="00161271">
              <w:rPr>
                <w:b/>
                <w:bCs/>
                <w:sz w:val="20"/>
                <w:szCs w:val="20"/>
              </w:rPr>
              <w:t>Ea</w:t>
            </w:r>
            <w:proofErr w:type="spellEnd"/>
            <w:r w:rsidRPr="00161271">
              <w:rPr>
                <w:b/>
                <w:bCs/>
                <w:sz w:val="20"/>
                <w:szCs w:val="20"/>
              </w:rPr>
              <w:t xml:space="preserve"> (kJ mol-1)</w:t>
            </w:r>
          </w:p>
        </w:tc>
        <w:tc>
          <w:tcPr>
            <w:tcW w:w="0" w:type="auto"/>
            <w:shd w:val="clear" w:color="auto" w:fill="FFFFFF"/>
            <w:tcMar>
              <w:top w:w="120" w:type="dxa"/>
              <w:left w:w="120" w:type="dxa"/>
              <w:bottom w:w="120" w:type="dxa"/>
              <w:right w:w="120" w:type="dxa"/>
            </w:tcMar>
            <w:vAlign w:val="center"/>
            <w:hideMark/>
          </w:tcPr>
          <w:p w14:paraId="6520D508" w14:textId="77777777" w:rsidR="004E13C3" w:rsidRPr="00161271" w:rsidRDefault="004E13C3" w:rsidP="008B2594">
            <w:pPr>
              <w:pStyle w:val="BodyText"/>
              <w:rPr>
                <w:b/>
                <w:bCs/>
                <w:sz w:val="20"/>
                <w:szCs w:val="20"/>
              </w:rPr>
            </w:pPr>
            <w:r w:rsidRPr="00161271">
              <w:rPr>
                <w:b/>
                <w:bCs/>
                <w:sz w:val="20"/>
                <w:szCs w:val="20"/>
              </w:rPr>
              <w:t>R²</w:t>
            </w:r>
          </w:p>
        </w:tc>
        <w:tc>
          <w:tcPr>
            <w:tcW w:w="0" w:type="auto"/>
            <w:shd w:val="clear" w:color="auto" w:fill="FFFFFF"/>
            <w:tcMar>
              <w:top w:w="120" w:type="dxa"/>
              <w:left w:w="120" w:type="dxa"/>
              <w:bottom w:w="120" w:type="dxa"/>
              <w:right w:w="120" w:type="dxa"/>
            </w:tcMar>
            <w:vAlign w:val="center"/>
            <w:hideMark/>
          </w:tcPr>
          <w:p w14:paraId="37999383" w14:textId="77777777" w:rsidR="004E13C3" w:rsidRPr="00161271" w:rsidRDefault="004E13C3" w:rsidP="008B2594">
            <w:pPr>
              <w:pStyle w:val="BodyText"/>
              <w:rPr>
                <w:b/>
                <w:bCs/>
                <w:sz w:val="20"/>
                <w:szCs w:val="20"/>
              </w:rPr>
            </w:pPr>
            <w:r w:rsidRPr="00161271">
              <w:rPr>
                <w:b/>
                <w:bCs/>
                <w:sz w:val="20"/>
                <w:szCs w:val="20"/>
              </w:rPr>
              <w:t>Slope</w:t>
            </w:r>
          </w:p>
        </w:tc>
        <w:tc>
          <w:tcPr>
            <w:tcW w:w="0" w:type="auto"/>
            <w:shd w:val="clear" w:color="auto" w:fill="FFFFFF"/>
            <w:tcMar>
              <w:top w:w="120" w:type="dxa"/>
              <w:left w:w="120" w:type="dxa"/>
              <w:bottom w:w="120" w:type="dxa"/>
              <w:right w:w="120" w:type="dxa"/>
            </w:tcMar>
            <w:vAlign w:val="center"/>
            <w:hideMark/>
          </w:tcPr>
          <w:p w14:paraId="19BCC8E2" w14:textId="77777777" w:rsidR="004E13C3" w:rsidRPr="00161271" w:rsidRDefault="004E13C3" w:rsidP="008B2594">
            <w:pPr>
              <w:pStyle w:val="BodyText"/>
              <w:rPr>
                <w:b/>
                <w:bCs/>
                <w:sz w:val="20"/>
                <w:szCs w:val="20"/>
              </w:rPr>
            </w:pPr>
            <w:r w:rsidRPr="00161271">
              <w:rPr>
                <w:b/>
                <w:bCs/>
                <w:sz w:val="20"/>
                <w:szCs w:val="20"/>
              </w:rPr>
              <w:t>Intercept</w:t>
            </w:r>
          </w:p>
        </w:tc>
      </w:tr>
      <w:tr w:rsidR="004E13C3" w:rsidRPr="00161271" w14:paraId="1361E29F" w14:textId="77777777" w:rsidTr="008B2594">
        <w:tc>
          <w:tcPr>
            <w:tcW w:w="2065" w:type="dxa"/>
            <w:shd w:val="clear" w:color="auto" w:fill="FFFFFF"/>
            <w:tcMar>
              <w:top w:w="120" w:type="dxa"/>
              <w:left w:w="120" w:type="dxa"/>
              <w:bottom w:w="120" w:type="dxa"/>
              <w:right w:w="120" w:type="dxa"/>
            </w:tcMar>
            <w:vAlign w:val="center"/>
            <w:hideMark/>
          </w:tcPr>
          <w:p w14:paraId="30947E87" w14:textId="77777777" w:rsidR="004E13C3" w:rsidRPr="00161271" w:rsidRDefault="004E13C3" w:rsidP="008B2594">
            <w:pPr>
              <w:pStyle w:val="BodyText"/>
              <w:rPr>
                <w:sz w:val="20"/>
                <w:szCs w:val="20"/>
              </w:rPr>
            </w:pPr>
            <w:r w:rsidRPr="00161271">
              <w:rPr>
                <w:sz w:val="20"/>
                <w:szCs w:val="20"/>
              </w:rPr>
              <w:t>SCM surface reaction</w:t>
            </w:r>
          </w:p>
        </w:tc>
        <w:tc>
          <w:tcPr>
            <w:tcW w:w="1890" w:type="dxa"/>
            <w:shd w:val="clear" w:color="auto" w:fill="FFFFFF"/>
            <w:tcMar>
              <w:top w:w="120" w:type="dxa"/>
              <w:left w:w="120" w:type="dxa"/>
              <w:bottom w:w="120" w:type="dxa"/>
              <w:right w:w="120" w:type="dxa"/>
            </w:tcMar>
            <w:vAlign w:val="center"/>
            <w:hideMark/>
          </w:tcPr>
          <w:p w14:paraId="4BC6C29B" w14:textId="77777777" w:rsidR="004E13C3" w:rsidRPr="00161271" w:rsidRDefault="004E13C3" w:rsidP="008B2594">
            <w:pPr>
              <w:pStyle w:val="BodyText"/>
              <w:rPr>
                <w:sz w:val="20"/>
                <w:szCs w:val="20"/>
              </w:rPr>
            </w:pPr>
            <w:r w:rsidRPr="00161271">
              <w:rPr>
                <w:sz w:val="20"/>
                <w:szCs w:val="20"/>
              </w:rPr>
              <w:t>Stage I: 25–45 °C</w:t>
            </w:r>
          </w:p>
        </w:tc>
        <w:tc>
          <w:tcPr>
            <w:tcW w:w="1663" w:type="dxa"/>
            <w:shd w:val="clear" w:color="auto" w:fill="FFFFFF"/>
            <w:tcMar>
              <w:top w:w="120" w:type="dxa"/>
              <w:left w:w="120" w:type="dxa"/>
              <w:bottom w:w="120" w:type="dxa"/>
              <w:right w:w="120" w:type="dxa"/>
            </w:tcMar>
            <w:vAlign w:val="center"/>
            <w:hideMark/>
          </w:tcPr>
          <w:p w14:paraId="23248BAD" w14:textId="77777777" w:rsidR="004E13C3" w:rsidRPr="00161271" w:rsidRDefault="004E13C3" w:rsidP="008B2594">
            <w:pPr>
              <w:pStyle w:val="BodyText"/>
              <w:rPr>
                <w:sz w:val="20"/>
                <w:szCs w:val="20"/>
              </w:rPr>
            </w:pPr>
            <w:r w:rsidRPr="00161271">
              <w:rPr>
                <w:sz w:val="20"/>
                <w:szCs w:val="20"/>
              </w:rPr>
              <w:t>49.830121</w:t>
            </w:r>
          </w:p>
        </w:tc>
        <w:tc>
          <w:tcPr>
            <w:tcW w:w="0" w:type="auto"/>
            <w:shd w:val="clear" w:color="auto" w:fill="FFFFFF"/>
            <w:tcMar>
              <w:top w:w="120" w:type="dxa"/>
              <w:left w:w="120" w:type="dxa"/>
              <w:bottom w:w="120" w:type="dxa"/>
              <w:right w:w="120" w:type="dxa"/>
            </w:tcMar>
            <w:vAlign w:val="center"/>
            <w:hideMark/>
          </w:tcPr>
          <w:p w14:paraId="4C0F3DBE" w14:textId="77777777" w:rsidR="004E13C3" w:rsidRPr="00161271" w:rsidRDefault="004E13C3" w:rsidP="008B2594">
            <w:pPr>
              <w:pStyle w:val="BodyText"/>
              <w:rPr>
                <w:sz w:val="20"/>
                <w:szCs w:val="20"/>
              </w:rPr>
            </w:pPr>
            <w:r w:rsidRPr="00161271">
              <w:rPr>
                <w:sz w:val="20"/>
                <w:szCs w:val="20"/>
              </w:rPr>
              <w:t>1.000000</w:t>
            </w:r>
          </w:p>
        </w:tc>
        <w:tc>
          <w:tcPr>
            <w:tcW w:w="0" w:type="auto"/>
            <w:shd w:val="clear" w:color="auto" w:fill="FFFFFF"/>
            <w:tcMar>
              <w:top w:w="120" w:type="dxa"/>
              <w:left w:w="120" w:type="dxa"/>
              <w:bottom w:w="120" w:type="dxa"/>
              <w:right w:w="120" w:type="dxa"/>
            </w:tcMar>
            <w:vAlign w:val="center"/>
            <w:hideMark/>
          </w:tcPr>
          <w:p w14:paraId="7FC09050" w14:textId="77777777" w:rsidR="004E13C3" w:rsidRPr="00161271" w:rsidRDefault="004E13C3" w:rsidP="008B2594">
            <w:pPr>
              <w:pStyle w:val="BodyText"/>
              <w:rPr>
                <w:sz w:val="20"/>
                <w:szCs w:val="20"/>
              </w:rPr>
            </w:pPr>
            <w:r w:rsidRPr="00161271">
              <w:rPr>
                <w:sz w:val="20"/>
                <w:szCs w:val="20"/>
              </w:rPr>
              <w:t>-5993.519500</w:t>
            </w:r>
          </w:p>
        </w:tc>
        <w:tc>
          <w:tcPr>
            <w:tcW w:w="0" w:type="auto"/>
            <w:shd w:val="clear" w:color="auto" w:fill="FFFFFF"/>
            <w:tcMar>
              <w:top w:w="120" w:type="dxa"/>
              <w:left w:w="120" w:type="dxa"/>
              <w:bottom w:w="120" w:type="dxa"/>
              <w:right w:w="120" w:type="dxa"/>
            </w:tcMar>
            <w:vAlign w:val="center"/>
            <w:hideMark/>
          </w:tcPr>
          <w:p w14:paraId="196D5BA7" w14:textId="77777777" w:rsidR="004E13C3" w:rsidRPr="00161271" w:rsidRDefault="004E13C3" w:rsidP="008B2594">
            <w:pPr>
              <w:pStyle w:val="BodyText"/>
              <w:rPr>
                <w:sz w:val="20"/>
                <w:szCs w:val="20"/>
              </w:rPr>
            </w:pPr>
            <w:r w:rsidRPr="00161271">
              <w:rPr>
                <w:sz w:val="20"/>
                <w:szCs w:val="20"/>
              </w:rPr>
              <w:t>11.462640</w:t>
            </w:r>
          </w:p>
        </w:tc>
      </w:tr>
      <w:tr w:rsidR="004E13C3" w:rsidRPr="00161271" w14:paraId="71ECD3D1" w14:textId="77777777" w:rsidTr="008B2594">
        <w:tc>
          <w:tcPr>
            <w:tcW w:w="2065" w:type="dxa"/>
            <w:shd w:val="clear" w:color="auto" w:fill="FFFFFF"/>
            <w:tcMar>
              <w:top w:w="120" w:type="dxa"/>
              <w:left w:w="120" w:type="dxa"/>
              <w:bottom w:w="120" w:type="dxa"/>
              <w:right w:w="120" w:type="dxa"/>
            </w:tcMar>
            <w:vAlign w:val="center"/>
            <w:hideMark/>
          </w:tcPr>
          <w:p w14:paraId="2D3FB625" w14:textId="77777777" w:rsidR="004E13C3" w:rsidRPr="00161271" w:rsidRDefault="004E13C3" w:rsidP="008B2594">
            <w:pPr>
              <w:pStyle w:val="BodyText"/>
              <w:rPr>
                <w:sz w:val="20"/>
                <w:szCs w:val="20"/>
              </w:rPr>
            </w:pPr>
            <w:r w:rsidRPr="00161271">
              <w:rPr>
                <w:sz w:val="20"/>
                <w:szCs w:val="20"/>
              </w:rPr>
              <w:t>SCM surface reaction</w:t>
            </w:r>
          </w:p>
        </w:tc>
        <w:tc>
          <w:tcPr>
            <w:tcW w:w="1890" w:type="dxa"/>
            <w:shd w:val="clear" w:color="auto" w:fill="FFFFFF"/>
            <w:tcMar>
              <w:top w:w="120" w:type="dxa"/>
              <w:left w:w="120" w:type="dxa"/>
              <w:bottom w:w="120" w:type="dxa"/>
              <w:right w:w="120" w:type="dxa"/>
            </w:tcMar>
            <w:vAlign w:val="center"/>
            <w:hideMark/>
          </w:tcPr>
          <w:p w14:paraId="003B6EC1" w14:textId="77777777" w:rsidR="004E13C3" w:rsidRPr="00161271" w:rsidRDefault="004E13C3" w:rsidP="008B2594">
            <w:pPr>
              <w:pStyle w:val="BodyText"/>
              <w:rPr>
                <w:sz w:val="20"/>
                <w:szCs w:val="20"/>
              </w:rPr>
            </w:pPr>
            <w:r w:rsidRPr="00161271">
              <w:rPr>
                <w:sz w:val="20"/>
                <w:szCs w:val="20"/>
              </w:rPr>
              <w:t>Stage II: 45–75 °C</w:t>
            </w:r>
          </w:p>
        </w:tc>
        <w:tc>
          <w:tcPr>
            <w:tcW w:w="1663" w:type="dxa"/>
            <w:shd w:val="clear" w:color="auto" w:fill="FFFFFF"/>
            <w:tcMar>
              <w:top w:w="120" w:type="dxa"/>
              <w:left w:w="120" w:type="dxa"/>
              <w:bottom w:w="120" w:type="dxa"/>
              <w:right w:w="120" w:type="dxa"/>
            </w:tcMar>
            <w:vAlign w:val="center"/>
            <w:hideMark/>
          </w:tcPr>
          <w:p w14:paraId="03149644" w14:textId="77777777" w:rsidR="004E13C3" w:rsidRPr="00161271" w:rsidRDefault="004E13C3" w:rsidP="008B2594">
            <w:pPr>
              <w:pStyle w:val="BodyText"/>
              <w:rPr>
                <w:sz w:val="20"/>
                <w:szCs w:val="20"/>
              </w:rPr>
            </w:pPr>
            <w:r w:rsidRPr="00161271">
              <w:rPr>
                <w:sz w:val="20"/>
                <w:szCs w:val="20"/>
              </w:rPr>
              <w:t>22.987223</w:t>
            </w:r>
          </w:p>
        </w:tc>
        <w:tc>
          <w:tcPr>
            <w:tcW w:w="0" w:type="auto"/>
            <w:shd w:val="clear" w:color="auto" w:fill="FFFFFF"/>
            <w:tcMar>
              <w:top w:w="120" w:type="dxa"/>
              <w:left w:w="120" w:type="dxa"/>
              <w:bottom w:w="120" w:type="dxa"/>
              <w:right w:w="120" w:type="dxa"/>
            </w:tcMar>
            <w:vAlign w:val="center"/>
            <w:hideMark/>
          </w:tcPr>
          <w:p w14:paraId="47D5725D" w14:textId="77777777" w:rsidR="004E13C3" w:rsidRPr="00161271" w:rsidRDefault="004E13C3" w:rsidP="008B2594">
            <w:pPr>
              <w:pStyle w:val="BodyText"/>
              <w:rPr>
                <w:sz w:val="20"/>
                <w:szCs w:val="20"/>
              </w:rPr>
            </w:pPr>
            <w:r w:rsidRPr="00161271">
              <w:rPr>
                <w:sz w:val="20"/>
                <w:szCs w:val="20"/>
              </w:rPr>
              <w:t>0.997603</w:t>
            </w:r>
          </w:p>
        </w:tc>
        <w:tc>
          <w:tcPr>
            <w:tcW w:w="0" w:type="auto"/>
            <w:shd w:val="clear" w:color="auto" w:fill="FFFFFF"/>
            <w:tcMar>
              <w:top w:w="120" w:type="dxa"/>
              <w:left w:w="120" w:type="dxa"/>
              <w:bottom w:w="120" w:type="dxa"/>
              <w:right w:w="120" w:type="dxa"/>
            </w:tcMar>
            <w:vAlign w:val="center"/>
            <w:hideMark/>
          </w:tcPr>
          <w:p w14:paraId="629142D2" w14:textId="77777777" w:rsidR="004E13C3" w:rsidRPr="00161271" w:rsidRDefault="004E13C3" w:rsidP="008B2594">
            <w:pPr>
              <w:pStyle w:val="BodyText"/>
              <w:rPr>
                <w:sz w:val="20"/>
                <w:szCs w:val="20"/>
              </w:rPr>
            </w:pPr>
            <w:r w:rsidRPr="00161271">
              <w:rPr>
                <w:sz w:val="20"/>
                <w:szCs w:val="20"/>
              </w:rPr>
              <w:t>-2764.881287</w:t>
            </w:r>
          </w:p>
        </w:tc>
        <w:tc>
          <w:tcPr>
            <w:tcW w:w="0" w:type="auto"/>
            <w:shd w:val="clear" w:color="auto" w:fill="FFFFFF"/>
            <w:tcMar>
              <w:top w:w="120" w:type="dxa"/>
              <w:left w:w="120" w:type="dxa"/>
              <w:bottom w:w="120" w:type="dxa"/>
              <w:right w:w="120" w:type="dxa"/>
            </w:tcMar>
            <w:vAlign w:val="center"/>
            <w:hideMark/>
          </w:tcPr>
          <w:p w14:paraId="79BD6587" w14:textId="77777777" w:rsidR="004E13C3" w:rsidRPr="00161271" w:rsidRDefault="004E13C3" w:rsidP="008B2594">
            <w:pPr>
              <w:pStyle w:val="BodyText"/>
              <w:rPr>
                <w:sz w:val="20"/>
                <w:szCs w:val="20"/>
              </w:rPr>
            </w:pPr>
            <w:r w:rsidRPr="00161271">
              <w:rPr>
                <w:sz w:val="20"/>
                <w:szCs w:val="20"/>
              </w:rPr>
              <w:t>1.324596</w:t>
            </w:r>
          </w:p>
        </w:tc>
      </w:tr>
      <w:tr w:rsidR="004E13C3" w:rsidRPr="00161271" w14:paraId="334BCDB4" w14:textId="77777777" w:rsidTr="008B2594">
        <w:tc>
          <w:tcPr>
            <w:tcW w:w="2065" w:type="dxa"/>
            <w:shd w:val="clear" w:color="auto" w:fill="FFFFFF"/>
            <w:tcMar>
              <w:top w:w="120" w:type="dxa"/>
              <w:left w:w="120" w:type="dxa"/>
              <w:bottom w:w="120" w:type="dxa"/>
              <w:right w:w="120" w:type="dxa"/>
            </w:tcMar>
            <w:vAlign w:val="center"/>
            <w:hideMark/>
          </w:tcPr>
          <w:p w14:paraId="2586E8CC" w14:textId="77777777" w:rsidR="004E13C3" w:rsidRPr="00161271" w:rsidRDefault="004E13C3" w:rsidP="008B2594">
            <w:pPr>
              <w:pStyle w:val="BodyText"/>
              <w:rPr>
                <w:sz w:val="20"/>
                <w:szCs w:val="20"/>
              </w:rPr>
            </w:pPr>
            <w:r w:rsidRPr="00161271">
              <w:rPr>
                <w:sz w:val="20"/>
                <w:szCs w:val="20"/>
              </w:rPr>
              <w:t>SCM surface reaction</w:t>
            </w:r>
          </w:p>
        </w:tc>
        <w:tc>
          <w:tcPr>
            <w:tcW w:w="1890" w:type="dxa"/>
            <w:shd w:val="clear" w:color="auto" w:fill="FFFFFF"/>
            <w:tcMar>
              <w:top w:w="120" w:type="dxa"/>
              <w:left w:w="120" w:type="dxa"/>
              <w:bottom w:w="120" w:type="dxa"/>
              <w:right w:w="120" w:type="dxa"/>
            </w:tcMar>
            <w:vAlign w:val="center"/>
            <w:hideMark/>
          </w:tcPr>
          <w:p w14:paraId="439D94EE" w14:textId="77777777" w:rsidR="004E13C3" w:rsidRPr="00161271" w:rsidRDefault="004E13C3" w:rsidP="008B2594">
            <w:pPr>
              <w:pStyle w:val="BodyText"/>
              <w:rPr>
                <w:sz w:val="20"/>
                <w:szCs w:val="20"/>
              </w:rPr>
            </w:pPr>
            <w:r w:rsidRPr="00161271">
              <w:rPr>
                <w:sz w:val="20"/>
                <w:szCs w:val="20"/>
              </w:rPr>
              <w:t>Stage III: 75–90 °C</w:t>
            </w:r>
          </w:p>
        </w:tc>
        <w:tc>
          <w:tcPr>
            <w:tcW w:w="1663" w:type="dxa"/>
            <w:shd w:val="clear" w:color="auto" w:fill="FFFFFF"/>
            <w:tcMar>
              <w:top w:w="120" w:type="dxa"/>
              <w:left w:w="120" w:type="dxa"/>
              <w:bottom w:w="120" w:type="dxa"/>
              <w:right w:w="120" w:type="dxa"/>
            </w:tcMar>
            <w:vAlign w:val="center"/>
            <w:hideMark/>
          </w:tcPr>
          <w:p w14:paraId="0F67387E" w14:textId="77777777" w:rsidR="004E13C3" w:rsidRPr="00161271" w:rsidRDefault="004E13C3" w:rsidP="008B2594">
            <w:pPr>
              <w:pStyle w:val="BodyText"/>
              <w:rPr>
                <w:sz w:val="20"/>
                <w:szCs w:val="20"/>
              </w:rPr>
            </w:pPr>
            <w:r w:rsidRPr="00161271">
              <w:rPr>
                <w:sz w:val="20"/>
                <w:szCs w:val="20"/>
              </w:rPr>
              <w:t>11.231160</w:t>
            </w:r>
          </w:p>
        </w:tc>
        <w:tc>
          <w:tcPr>
            <w:tcW w:w="0" w:type="auto"/>
            <w:shd w:val="clear" w:color="auto" w:fill="FFFFFF"/>
            <w:tcMar>
              <w:top w:w="120" w:type="dxa"/>
              <w:left w:w="120" w:type="dxa"/>
              <w:bottom w:w="120" w:type="dxa"/>
              <w:right w:w="120" w:type="dxa"/>
            </w:tcMar>
            <w:vAlign w:val="center"/>
            <w:hideMark/>
          </w:tcPr>
          <w:p w14:paraId="05EEFEF0" w14:textId="77777777" w:rsidR="004E13C3" w:rsidRPr="00161271" w:rsidRDefault="004E13C3" w:rsidP="008B2594">
            <w:pPr>
              <w:pStyle w:val="BodyText"/>
              <w:rPr>
                <w:sz w:val="20"/>
                <w:szCs w:val="20"/>
              </w:rPr>
            </w:pPr>
            <w:r w:rsidRPr="00161271">
              <w:rPr>
                <w:sz w:val="20"/>
                <w:szCs w:val="20"/>
              </w:rPr>
              <w:t>1.000000</w:t>
            </w:r>
          </w:p>
        </w:tc>
        <w:tc>
          <w:tcPr>
            <w:tcW w:w="0" w:type="auto"/>
            <w:shd w:val="clear" w:color="auto" w:fill="FFFFFF"/>
            <w:tcMar>
              <w:top w:w="120" w:type="dxa"/>
              <w:left w:w="120" w:type="dxa"/>
              <w:bottom w:w="120" w:type="dxa"/>
              <w:right w:w="120" w:type="dxa"/>
            </w:tcMar>
            <w:vAlign w:val="center"/>
            <w:hideMark/>
          </w:tcPr>
          <w:p w14:paraId="3CB6E367" w14:textId="77777777" w:rsidR="004E13C3" w:rsidRPr="00161271" w:rsidRDefault="004E13C3" w:rsidP="008B2594">
            <w:pPr>
              <w:pStyle w:val="BodyText"/>
              <w:rPr>
                <w:sz w:val="20"/>
                <w:szCs w:val="20"/>
              </w:rPr>
            </w:pPr>
            <w:r w:rsidRPr="00161271">
              <w:rPr>
                <w:sz w:val="20"/>
                <w:szCs w:val="20"/>
              </w:rPr>
              <w:t>-1350.873222</w:t>
            </w:r>
          </w:p>
        </w:tc>
        <w:tc>
          <w:tcPr>
            <w:tcW w:w="0" w:type="auto"/>
            <w:shd w:val="clear" w:color="auto" w:fill="FFFFFF"/>
            <w:tcMar>
              <w:top w:w="120" w:type="dxa"/>
              <w:left w:w="120" w:type="dxa"/>
              <w:bottom w:w="120" w:type="dxa"/>
              <w:right w:w="120" w:type="dxa"/>
            </w:tcMar>
            <w:vAlign w:val="center"/>
            <w:hideMark/>
          </w:tcPr>
          <w:p w14:paraId="4F3EB252" w14:textId="77777777" w:rsidR="004E13C3" w:rsidRPr="00161271" w:rsidRDefault="004E13C3" w:rsidP="008B2594">
            <w:pPr>
              <w:pStyle w:val="BodyText"/>
              <w:rPr>
                <w:sz w:val="20"/>
                <w:szCs w:val="20"/>
              </w:rPr>
            </w:pPr>
            <w:r w:rsidRPr="00161271">
              <w:rPr>
                <w:sz w:val="20"/>
                <w:szCs w:val="20"/>
              </w:rPr>
              <w:t>-2.747969</w:t>
            </w:r>
          </w:p>
        </w:tc>
      </w:tr>
      <w:tr w:rsidR="004E13C3" w:rsidRPr="00161271" w14:paraId="656E1646" w14:textId="77777777" w:rsidTr="008B2594">
        <w:tc>
          <w:tcPr>
            <w:tcW w:w="2065" w:type="dxa"/>
            <w:shd w:val="clear" w:color="auto" w:fill="FFFFFF"/>
            <w:tcMar>
              <w:top w:w="120" w:type="dxa"/>
              <w:left w:w="120" w:type="dxa"/>
              <w:bottom w:w="120" w:type="dxa"/>
              <w:right w:w="120" w:type="dxa"/>
            </w:tcMar>
            <w:vAlign w:val="center"/>
            <w:hideMark/>
          </w:tcPr>
          <w:p w14:paraId="7E1F4B07" w14:textId="77777777" w:rsidR="004E13C3" w:rsidRPr="00161271" w:rsidRDefault="004E13C3" w:rsidP="008B2594">
            <w:pPr>
              <w:pStyle w:val="BodyText"/>
              <w:rPr>
                <w:sz w:val="20"/>
                <w:szCs w:val="20"/>
              </w:rPr>
            </w:pPr>
            <w:r w:rsidRPr="00161271">
              <w:rPr>
                <w:sz w:val="20"/>
                <w:szCs w:val="20"/>
              </w:rPr>
              <w:t>SCM diffusion</w:t>
            </w:r>
          </w:p>
        </w:tc>
        <w:tc>
          <w:tcPr>
            <w:tcW w:w="1890" w:type="dxa"/>
            <w:shd w:val="clear" w:color="auto" w:fill="FFFFFF"/>
            <w:tcMar>
              <w:top w:w="120" w:type="dxa"/>
              <w:left w:w="120" w:type="dxa"/>
              <w:bottom w:w="120" w:type="dxa"/>
              <w:right w:w="120" w:type="dxa"/>
            </w:tcMar>
            <w:vAlign w:val="center"/>
            <w:hideMark/>
          </w:tcPr>
          <w:p w14:paraId="118E472E" w14:textId="77777777" w:rsidR="004E13C3" w:rsidRPr="00161271" w:rsidRDefault="004E13C3" w:rsidP="008B2594">
            <w:pPr>
              <w:pStyle w:val="BodyText"/>
              <w:rPr>
                <w:sz w:val="20"/>
                <w:szCs w:val="20"/>
              </w:rPr>
            </w:pPr>
            <w:r w:rsidRPr="00161271">
              <w:rPr>
                <w:sz w:val="20"/>
                <w:szCs w:val="20"/>
              </w:rPr>
              <w:t>Stage I: 25–45 °C</w:t>
            </w:r>
          </w:p>
        </w:tc>
        <w:tc>
          <w:tcPr>
            <w:tcW w:w="1663" w:type="dxa"/>
            <w:shd w:val="clear" w:color="auto" w:fill="FFFFFF"/>
            <w:tcMar>
              <w:top w:w="120" w:type="dxa"/>
              <w:left w:w="120" w:type="dxa"/>
              <w:bottom w:w="120" w:type="dxa"/>
              <w:right w:w="120" w:type="dxa"/>
            </w:tcMar>
            <w:vAlign w:val="center"/>
            <w:hideMark/>
          </w:tcPr>
          <w:p w14:paraId="1A4D581A" w14:textId="77777777" w:rsidR="004E13C3" w:rsidRPr="00161271" w:rsidRDefault="004E13C3" w:rsidP="008B2594">
            <w:pPr>
              <w:pStyle w:val="BodyText"/>
              <w:rPr>
                <w:sz w:val="20"/>
                <w:szCs w:val="20"/>
              </w:rPr>
            </w:pPr>
            <w:r w:rsidRPr="00161271">
              <w:rPr>
                <w:sz w:val="20"/>
                <w:szCs w:val="20"/>
              </w:rPr>
              <w:t>81.522748</w:t>
            </w:r>
          </w:p>
        </w:tc>
        <w:tc>
          <w:tcPr>
            <w:tcW w:w="0" w:type="auto"/>
            <w:shd w:val="clear" w:color="auto" w:fill="FFFFFF"/>
            <w:tcMar>
              <w:top w:w="120" w:type="dxa"/>
              <w:left w:w="120" w:type="dxa"/>
              <w:bottom w:w="120" w:type="dxa"/>
              <w:right w:w="120" w:type="dxa"/>
            </w:tcMar>
            <w:vAlign w:val="center"/>
            <w:hideMark/>
          </w:tcPr>
          <w:p w14:paraId="24398D40" w14:textId="77777777" w:rsidR="004E13C3" w:rsidRPr="00161271" w:rsidRDefault="004E13C3" w:rsidP="008B2594">
            <w:pPr>
              <w:pStyle w:val="BodyText"/>
              <w:rPr>
                <w:sz w:val="20"/>
                <w:szCs w:val="20"/>
              </w:rPr>
            </w:pPr>
            <w:r w:rsidRPr="00161271">
              <w:rPr>
                <w:sz w:val="20"/>
                <w:szCs w:val="20"/>
              </w:rPr>
              <w:t>1.000000</w:t>
            </w:r>
          </w:p>
        </w:tc>
        <w:tc>
          <w:tcPr>
            <w:tcW w:w="0" w:type="auto"/>
            <w:shd w:val="clear" w:color="auto" w:fill="FFFFFF"/>
            <w:tcMar>
              <w:top w:w="120" w:type="dxa"/>
              <w:left w:w="120" w:type="dxa"/>
              <w:bottom w:w="120" w:type="dxa"/>
              <w:right w:w="120" w:type="dxa"/>
            </w:tcMar>
            <w:vAlign w:val="center"/>
            <w:hideMark/>
          </w:tcPr>
          <w:p w14:paraId="4EECA5BE" w14:textId="77777777" w:rsidR="004E13C3" w:rsidRPr="00161271" w:rsidRDefault="004E13C3" w:rsidP="008B2594">
            <w:pPr>
              <w:pStyle w:val="BodyText"/>
              <w:rPr>
                <w:sz w:val="20"/>
                <w:szCs w:val="20"/>
              </w:rPr>
            </w:pPr>
            <w:r w:rsidRPr="00161271">
              <w:rPr>
                <w:sz w:val="20"/>
                <w:szCs w:val="20"/>
              </w:rPr>
              <w:t>-9805.478423</w:t>
            </w:r>
          </w:p>
        </w:tc>
        <w:tc>
          <w:tcPr>
            <w:tcW w:w="0" w:type="auto"/>
            <w:shd w:val="clear" w:color="auto" w:fill="FFFFFF"/>
            <w:tcMar>
              <w:top w:w="120" w:type="dxa"/>
              <w:left w:w="120" w:type="dxa"/>
              <w:bottom w:w="120" w:type="dxa"/>
              <w:right w:w="120" w:type="dxa"/>
            </w:tcMar>
            <w:vAlign w:val="center"/>
            <w:hideMark/>
          </w:tcPr>
          <w:p w14:paraId="679F4D87" w14:textId="77777777" w:rsidR="004E13C3" w:rsidRPr="00161271" w:rsidRDefault="004E13C3" w:rsidP="008B2594">
            <w:pPr>
              <w:pStyle w:val="BodyText"/>
              <w:rPr>
                <w:sz w:val="20"/>
                <w:szCs w:val="20"/>
              </w:rPr>
            </w:pPr>
            <w:r w:rsidRPr="00161271">
              <w:rPr>
                <w:sz w:val="20"/>
                <w:szCs w:val="20"/>
              </w:rPr>
              <w:t>22.536293</w:t>
            </w:r>
          </w:p>
        </w:tc>
      </w:tr>
      <w:tr w:rsidR="004E13C3" w:rsidRPr="00161271" w14:paraId="1C217614" w14:textId="77777777" w:rsidTr="008B2594">
        <w:tc>
          <w:tcPr>
            <w:tcW w:w="2065" w:type="dxa"/>
            <w:shd w:val="clear" w:color="auto" w:fill="FFFFFF"/>
            <w:tcMar>
              <w:top w:w="120" w:type="dxa"/>
              <w:left w:w="120" w:type="dxa"/>
              <w:bottom w:w="120" w:type="dxa"/>
              <w:right w:w="120" w:type="dxa"/>
            </w:tcMar>
            <w:vAlign w:val="center"/>
            <w:hideMark/>
          </w:tcPr>
          <w:p w14:paraId="4B595A4A" w14:textId="77777777" w:rsidR="004E13C3" w:rsidRPr="00161271" w:rsidRDefault="004E13C3" w:rsidP="008B2594">
            <w:pPr>
              <w:pStyle w:val="BodyText"/>
              <w:rPr>
                <w:sz w:val="20"/>
                <w:szCs w:val="20"/>
              </w:rPr>
            </w:pPr>
            <w:r w:rsidRPr="00161271">
              <w:rPr>
                <w:sz w:val="20"/>
                <w:szCs w:val="20"/>
              </w:rPr>
              <w:t>SCM diffusion</w:t>
            </w:r>
          </w:p>
        </w:tc>
        <w:tc>
          <w:tcPr>
            <w:tcW w:w="1890" w:type="dxa"/>
            <w:shd w:val="clear" w:color="auto" w:fill="FFFFFF"/>
            <w:tcMar>
              <w:top w:w="120" w:type="dxa"/>
              <w:left w:w="120" w:type="dxa"/>
              <w:bottom w:w="120" w:type="dxa"/>
              <w:right w:w="120" w:type="dxa"/>
            </w:tcMar>
            <w:vAlign w:val="center"/>
            <w:hideMark/>
          </w:tcPr>
          <w:p w14:paraId="3DE9A113" w14:textId="77777777" w:rsidR="004E13C3" w:rsidRPr="00161271" w:rsidRDefault="004E13C3" w:rsidP="008B2594">
            <w:pPr>
              <w:pStyle w:val="BodyText"/>
              <w:rPr>
                <w:sz w:val="20"/>
                <w:szCs w:val="20"/>
              </w:rPr>
            </w:pPr>
            <w:r w:rsidRPr="00161271">
              <w:rPr>
                <w:sz w:val="20"/>
                <w:szCs w:val="20"/>
              </w:rPr>
              <w:t>Stage II: 45–75 °C</w:t>
            </w:r>
          </w:p>
        </w:tc>
        <w:tc>
          <w:tcPr>
            <w:tcW w:w="1663" w:type="dxa"/>
            <w:shd w:val="clear" w:color="auto" w:fill="FFFFFF"/>
            <w:tcMar>
              <w:top w:w="120" w:type="dxa"/>
              <w:left w:w="120" w:type="dxa"/>
              <w:bottom w:w="120" w:type="dxa"/>
              <w:right w:w="120" w:type="dxa"/>
            </w:tcMar>
            <w:vAlign w:val="center"/>
            <w:hideMark/>
          </w:tcPr>
          <w:p w14:paraId="46D527B9" w14:textId="77777777" w:rsidR="004E13C3" w:rsidRPr="00161271" w:rsidRDefault="004E13C3" w:rsidP="008B2594">
            <w:pPr>
              <w:pStyle w:val="BodyText"/>
              <w:rPr>
                <w:sz w:val="20"/>
                <w:szCs w:val="20"/>
              </w:rPr>
            </w:pPr>
            <w:r w:rsidRPr="00161271">
              <w:rPr>
                <w:sz w:val="20"/>
                <w:szCs w:val="20"/>
              </w:rPr>
              <w:t>39.206041</w:t>
            </w:r>
          </w:p>
        </w:tc>
        <w:tc>
          <w:tcPr>
            <w:tcW w:w="0" w:type="auto"/>
            <w:shd w:val="clear" w:color="auto" w:fill="FFFFFF"/>
            <w:tcMar>
              <w:top w:w="120" w:type="dxa"/>
              <w:left w:w="120" w:type="dxa"/>
              <w:bottom w:w="120" w:type="dxa"/>
              <w:right w:w="120" w:type="dxa"/>
            </w:tcMar>
            <w:vAlign w:val="center"/>
            <w:hideMark/>
          </w:tcPr>
          <w:p w14:paraId="7A61CB88" w14:textId="77777777" w:rsidR="004E13C3" w:rsidRPr="00161271" w:rsidRDefault="004E13C3" w:rsidP="008B2594">
            <w:pPr>
              <w:pStyle w:val="BodyText"/>
              <w:rPr>
                <w:sz w:val="20"/>
                <w:szCs w:val="20"/>
              </w:rPr>
            </w:pPr>
            <w:r w:rsidRPr="00161271">
              <w:rPr>
                <w:sz w:val="20"/>
                <w:szCs w:val="20"/>
              </w:rPr>
              <w:t>0.997449</w:t>
            </w:r>
          </w:p>
        </w:tc>
        <w:tc>
          <w:tcPr>
            <w:tcW w:w="0" w:type="auto"/>
            <w:shd w:val="clear" w:color="auto" w:fill="FFFFFF"/>
            <w:tcMar>
              <w:top w:w="120" w:type="dxa"/>
              <w:left w:w="120" w:type="dxa"/>
              <w:bottom w:w="120" w:type="dxa"/>
              <w:right w:w="120" w:type="dxa"/>
            </w:tcMar>
            <w:vAlign w:val="center"/>
            <w:hideMark/>
          </w:tcPr>
          <w:p w14:paraId="14CA0CC1" w14:textId="77777777" w:rsidR="004E13C3" w:rsidRPr="00161271" w:rsidRDefault="004E13C3" w:rsidP="008B2594">
            <w:pPr>
              <w:pStyle w:val="BodyText"/>
              <w:rPr>
                <w:sz w:val="20"/>
                <w:szCs w:val="20"/>
              </w:rPr>
            </w:pPr>
            <w:r w:rsidRPr="00161271">
              <w:rPr>
                <w:sz w:val="20"/>
                <w:szCs w:val="20"/>
              </w:rPr>
              <w:t>-4715.665211</w:t>
            </w:r>
          </w:p>
        </w:tc>
        <w:tc>
          <w:tcPr>
            <w:tcW w:w="0" w:type="auto"/>
            <w:shd w:val="clear" w:color="auto" w:fill="FFFFFF"/>
            <w:tcMar>
              <w:top w:w="120" w:type="dxa"/>
              <w:left w:w="120" w:type="dxa"/>
              <w:bottom w:w="120" w:type="dxa"/>
              <w:right w:w="120" w:type="dxa"/>
            </w:tcMar>
            <w:vAlign w:val="center"/>
            <w:hideMark/>
          </w:tcPr>
          <w:p w14:paraId="265814C4" w14:textId="77777777" w:rsidR="004E13C3" w:rsidRPr="00161271" w:rsidRDefault="004E13C3" w:rsidP="008B2594">
            <w:pPr>
              <w:pStyle w:val="BodyText"/>
              <w:rPr>
                <w:sz w:val="20"/>
                <w:szCs w:val="20"/>
              </w:rPr>
            </w:pPr>
            <w:r w:rsidRPr="00161271">
              <w:rPr>
                <w:sz w:val="20"/>
                <w:szCs w:val="20"/>
              </w:rPr>
              <w:t>6.555945</w:t>
            </w:r>
          </w:p>
        </w:tc>
      </w:tr>
      <w:tr w:rsidR="004E13C3" w:rsidRPr="00161271" w14:paraId="5EA0D664" w14:textId="77777777" w:rsidTr="008B2594">
        <w:tc>
          <w:tcPr>
            <w:tcW w:w="2065" w:type="dxa"/>
            <w:shd w:val="clear" w:color="auto" w:fill="FFFFFF"/>
            <w:tcMar>
              <w:top w:w="120" w:type="dxa"/>
              <w:left w:w="120" w:type="dxa"/>
              <w:bottom w:w="120" w:type="dxa"/>
              <w:right w:w="120" w:type="dxa"/>
            </w:tcMar>
            <w:vAlign w:val="center"/>
            <w:hideMark/>
          </w:tcPr>
          <w:p w14:paraId="4ABB8CB2" w14:textId="77777777" w:rsidR="004E13C3" w:rsidRPr="00161271" w:rsidRDefault="004E13C3" w:rsidP="008B2594">
            <w:pPr>
              <w:pStyle w:val="BodyText"/>
              <w:rPr>
                <w:sz w:val="20"/>
                <w:szCs w:val="20"/>
              </w:rPr>
            </w:pPr>
            <w:r w:rsidRPr="00161271">
              <w:rPr>
                <w:sz w:val="20"/>
                <w:szCs w:val="20"/>
              </w:rPr>
              <w:t>SCM diffusion</w:t>
            </w:r>
          </w:p>
        </w:tc>
        <w:tc>
          <w:tcPr>
            <w:tcW w:w="1890" w:type="dxa"/>
            <w:shd w:val="clear" w:color="auto" w:fill="FFFFFF"/>
            <w:tcMar>
              <w:top w:w="120" w:type="dxa"/>
              <w:left w:w="120" w:type="dxa"/>
              <w:bottom w:w="120" w:type="dxa"/>
              <w:right w:w="120" w:type="dxa"/>
            </w:tcMar>
            <w:vAlign w:val="center"/>
            <w:hideMark/>
          </w:tcPr>
          <w:p w14:paraId="181161AE" w14:textId="77777777" w:rsidR="004E13C3" w:rsidRPr="00161271" w:rsidRDefault="004E13C3" w:rsidP="008B2594">
            <w:pPr>
              <w:pStyle w:val="BodyText"/>
              <w:rPr>
                <w:sz w:val="20"/>
                <w:szCs w:val="20"/>
              </w:rPr>
            </w:pPr>
            <w:r w:rsidRPr="00161271">
              <w:rPr>
                <w:sz w:val="20"/>
                <w:szCs w:val="20"/>
              </w:rPr>
              <w:t>Stage III: 75–90 °C</w:t>
            </w:r>
          </w:p>
        </w:tc>
        <w:tc>
          <w:tcPr>
            <w:tcW w:w="1663" w:type="dxa"/>
            <w:shd w:val="clear" w:color="auto" w:fill="FFFFFF"/>
            <w:tcMar>
              <w:top w:w="120" w:type="dxa"/>
              <w:left w:w="120" w:type="dxa"/>
              <w:bottom w:w="120" w:type="dxa"/>
              <w:right w:w="120" w:type="dxa"/>
            </w:tcMar>
            <w:vAlign w:val="center"/>
            <w:hideMark/>
          </w:tcPr>
          <w:p w14:paraId="6DDD21F5" w14:textId="77777777" w:rsidR="004E13C3" w:rsidRPr="00161271" w:rsidRDefault="004E13C3" w:rsidP="008B2594">
            <w:pPr>
              <w:pStyle w:val="BodyText"/>
              <w:rPr>
                <w:sz w:val="20"/>
                <w:szCs w:val="20"/>
              </w:rPr>
            </w:pPr>
            <w:r w:rsidRPr="00161271">
              <w:rPr>
                <w:sz w:val="20"/>
                <w:szCs w:val="20"/>
              </w:rPr>
              <w:t>11.220027</w:t>
            </w:r>
          </w:p>
        </w:tc>
        <w:tc>
          <w:tcPr>
            <w:tcW w:w="0" w:type="auto"/>
            <w:shd w:val="clear" w:color="auto" w:fill="FFFFFF"/>
            <w:tcMar>
              <w:top w:w="120" w:type="dxa"/>
              <w:left w:w="120" w:type="dxa"/>
              <w:bottom w:w="120" w:type="dxa"/>
              <w:right w:w="120" w:type="dxa"/>
            </w:tcMar>
            <w:vAlign w:val="center"/>
            <w:hideMark/>
          </w:tcPr>
          <w:p w14:paraId="576C945C" w14:textId="77777777" w:rsidR="004E13C3" w:rsidRPr="00161271" w:rsidRDefault="004E13C3" w:rsidP="008B2594">
            <w:pPr>
              <w:pStyle w:val="BodyText"/>
              <w:rPr>
                <w:sz w:val="20"/>
                <w:szCs w:val="20"/>
              </w:rPr>
            </w:pPr>
            <w:r w:rsidRPr="00161271">
              <w:rPr>
                <w:sz w:val="20"/>
                <w:szCs w:val="20"/>
              </w:rPr>
              <w:t>1.000000</w:t>
            </w:r>
          </w:p>
        </w:tc>
        <w:tc>
          <w:tcPr>
            <w:tcW w:w="0" w:type="auto"/>
            <w:shd w:val="clear" w:color="auto" w:fill="FFFFFF"/>
            <w:tcMar>
              <w:top w:w="120" w:type="dxa"/>
              <w:left w:w="120" w:type="dxa"/>
              <w:bottom w:w="120" w:type="dxa"/>
              <w:right w:w="120" w:type="dxa"/>
            </w:tcMar>
            <w:vAlign w:val="center"/>
            <w:hideMark/>
          </w:tcPr>
          <w:p w14:paraId="7B847E09" w14:textId="77777777" w:rsidR="004E13C3" w:rsidRPr="00161271" w:rsidRDefault="004E13C3" w:rsidP="008B2594">
            <w:pPr>
              <w:pStyle w:val="BodyText"/>
              <w:rPr>
                <w:sz w:val="20"/>
                <w:szCs w:val="20"/>
              </w:rPr>
            </w:pPr>
            <w:r w:rsidRPr="00161271">
              <w:rPr>
                <w:sz w:val="20"/>
                <w:szCs w:val="20"/>
              </w:rPr>
              <w:t>-1349.534187</w:t>
            </w:r>
          </w:p>
        </w:tc>
        <w:tc>
          <w:tcPr>
            <w:tcW w:w="0" w:type="auto"/>
            <w:shd w:val="clear" w:color="auto" w:fill="FFFFFF"/>
            <w:tcMar>
              <w:top w:w="120" w:type="dxa"/>
              <w:left w:w="120" w:type="dxa"/>
              <w:bottom w:w="120" w:type="dxa"/>
              <w:right w:w="120" w:type="dxa"/>
            </w:tcMar>
            <w:vAlign w:val="center"/>
            <w:hideMark/>
          </w:tcPr>
          <w:p w14:paraId="24E41FB3" w14:textId="77777777" w:rsidR="004E13C3" w:rsidRPr="00161271" w:rsidRDefault="004E13C3" w:rsidP="008B2594">
            <w:pPr>
              <w:pStyle w:val="BodyText"/>
              <w:rPr>
                <w:sz w:val="20"/>
                <w:szCs w:val="20"/>
              </w:rPr>
            </w:pPr>
            <w:r w:rsidRPr="00161271">
              <w:rPr>
                <w:sz w:val="20"/>
                <w:szCs w:val="20"/>
              </w:rPr>
              <w:t>-3.132164</w:t>
            </w:r>
          </w:p>
        </w:tc>
      </w:tr>
      <w:tr w:rsidR="004E13C3" w:rsidRPr="00161271" w14:paraId="1357B2C4" w14:textId="77777777" w:rsidTr="008B2594">
        <w:tc>
          <w:tcPr>
            <w:tcW w:w="2065" w:type="dxa"/>
            <w:shd w:val="clear" w:color="auto" w:fill="FFFFFF"/>
            <w:tcMar>
              <w:top w:w="120" w:type="dxa"/>
              <w:left w:w="120" w:type="dxa"/>
              <w:bottom w:w="120" w:type="dxa"/>
              <w:right w:w="120" w:type="dxa"/>
            </w:tcMar>
            <w:vAlign w:val="center"/>
            <w:hideMark/>
          </w:tcPr>
          <w:p w14:paraId="5B4D954A" w14:textId="77777777" w:rsidR="004E13C3" w:rsidRPr="00161271" w:rsidRDefault="004E13C3" w:rsidP="008B2594">
            <w:pPr>
              <w:pStyle w:val="BodyText"/>
              <w:rPr>
                <w:sz w:val="20"/>
                <w:szCs w:val="20"/>
              </w:rPr>
            </w:pPr>
            <w:proofErr w:type="spellStart"/>
            <w:r w:rsidRPr="00161271">
              <w:rPr>
                <w:sz w:val="20"/>
                <w:szCs w:val="20"/>
              </w:rPr>
              <w:t>Avrami</w:t>
            </w:r>
            <w:proofErr w:type="spellEnd"/>
            <w:r w:rsidRPr="00161271">
              <w:rPr>
                <w:sz w:val="20"/>
                <w:szCs w:val="20"/>
              </w:rPr>
              <w:t xml:space="preserve"> corrected </w:t>
            </w:r>
            <w:r w:rsidRPr="00267C17">
              <w:t>k=(ka)</w:t>
            </w:r>
            <w:r w:rsidRPr="00267C17">
              <w:rPr>
                <w:vertAlign w:val="superscript"/>
              </w:rPr>
              <w:t>1/n</w:t>
            </w:r>
          </w:p>
        </w:tc>
        <w:tc>
          <w:tcPr>
            <w:tcW w:w="1890" w:type="dxa"/>
            <w:shd w:val="clear" w:color="auto" w:fill="FFFFFF"/>
            <w:tcMar>
              <w:top w:w="120" w:type="dxa"/>
              <w:left w:w="120" w:type="dxa"/>
              <w:bottom w:w="120" w:type="dxa"/>
              <w:right w:w="120" w:type="dxa"/>
            </w:tcMar>
            <w:vAlign w:val="center"/>
            <w:hideMark/>
          </w:tcPr>
          <w:p w14:paraId="4A65255A" w14:textId="77777777" w:rsidR="004E13C3" w:rsidRPr="00161271" w:rsidRDefault="004E13C3" w:rsidP="008B2594">
            <w:pPr>
              <w:pStyle w:val="BodyText"/>
              <w:rPr>
                <w:sz w:val="20"/>
                <w:szCs w:val="20"/>
              </w:rPr>
            </w:pPr>
            <w:r w:rsidRPr="00161271">
              <w:rPr>
                <w:sz w:val="20"/>
                <w:szCs w:val="20"/>
              </w:rPr>
              <w:t>Stage I: 25–45 °C</w:t>
            </w:r>
          </w:p>
        </w:tc>
        <w:tc>
          <w:tcPr>
            <w:tcW w:w="1663" w:type="dxa"/>
            <w:shd w:val="clear" w:color="auto" w:fill="FFFFFF"/>
            <w:tcMar>
              <w:top w:w="120" w:type="dxa"/>
              <w:left w:w="120" w:type="dxa"/>
              <w:bottom w:w="120" w:type="dxa"/>
              <w:right w:w="120" w:type="dxa"/>
            </w:tcMar>
            <w:vAlign w:val="center"/>
            <w:hideMark/>
          </w:tcPr>
          <w:p w14:paraId="2556D5FF" w14:textId="77777777" w:rsidR="004E13C3" w:rsidRPr="00161271" w:rsidRDefault="004E13C3" w:rsidP="008B2594">
            <w:pPr>
              <w:pStyle w:val="BodyText"/>
              <w:rPr>
                <w:sz w:val="20"/>
                <w:szCs w:val="20"/>
              </w:rPr>
            </w:pPr>
            <w:r w:rsidRPr="00161271">
              <w:rPr>
                <w:sz w:val="20"/>
                <w:szCs w:val="20"/>
              </w:rPr>
              <w:t>176.434880</w:t>
            </w:r>
          </w:p>
        </w:tc>
        <w:tc>
          <w:tcPr>
            <w:tcW w:w="0" w:type="auto"/>
            <w:shd w:val="clear" w:color="auto" w:fill="FFFFFF"/>
            <w:tcMar>
              <w:top w:w="120" w:type="dxa"/>
              <w:left w:w="120" w:type="dxa"/>
              <w:bottom w:w="120" w:type="dxa"/>
              <w:right w:w="120" w:type="dxa"/>
            </w:tcMar>
            <w:vAlign w:val="center"/>
            <w:hideMark/>
          </w:tcPr>
          <w:p w14:paraId="0F5C6B7C" w14:textId="77777777" w:rsidR="004E13C3" w:rsidRPr="00161271" w:rsidRDefault="004E13C3" w:rsidP="008B2594">
            <w:pPr>
              <w:pStyle w:val="BodyText"/>
              <w:rPr>
                <w:sz w:val="20"/>
                <w:szCs w:val="20"/>
              </w:rPr>
            </w:pPr>
            <w:r w:rsidRPr="00161271">
              <w:rPr>
                <w:sz w:val="20"/>
                <w:szCs w:val="20"/>
              </w:rPr>
              <w:t>1.000000</w:t>
            </w:r>
          </w:p>
        </w:tc>
        <w:tc>
          <w:tcPr>
            <w:tcW w:w="0" w:type="auto"/>
            <w:shd w:val="clear" w:color="auto" w:fill="FFFFFF"/>
            <w:tcMar>
              <w:top w:w="120" w:type="dxa"/>
              <w:left w:w="120" w:type="dxa"/>
              <w:bottom w:w="120" w:type="dxa"/>
              <w:right w:w="120" w:type="dxa"/>
            </w:tcMar>
            <w:vAlign w:val="center"/>
            <w:hideMark/>
          </w:tcPr>
          <w:p w14:paraId="67943156" w14:textId="77777777" w:rsidR="004E13C3" w:rsidRPr="00161271" w:rsidRDefault="004E13C3" w:rsidP="008B2594">
            <w:pPr>
              <w:pStyle w:val="BodyText"/>
              <w:rPr>
                <w:sz w:val="20"/>
                <w:szCs w:val="20"/>
              </w:rPr>
            </w:pPr>
            <w:r w:rsidRPr="00161271">
              <w:rPr>
                <w:sz w:val="20"/>
                <w:szCs w:val="20"/>
              </w:rPr>
              <w:t>-21221.419275</w:t>
            </w:r>
          </w:p>
        </w:tc>
        <w:tc>
          <w:tcPr>
            <w:tcW w:w="0" w:type="auto"/>
            <w:shd w:val="clear" w:color="auto" w:fill="FFFFFF"/>
            <w:tcMar>
              <w:top w:w="120" w:type="dxa"/>
              <w:left w:w="120" w:type="dxa"/>
              <w:bottom w:w="120" w:type="dxa"/>
              <w:right w:w="120" w:type="dxa"/>
            </w:tcMar>
            <w:vAlign w:val="center"/>
            <w:hideMark/>
          </w:tcPr>
          <w:p w14:paraId="3B35A069" w14:textId="77777777" w:rsidR="004E13C3" w:rsidRPr="00161271" w:rsidRDefault="004E13C3" w:rsidP="008B2594">
            <w:pPr>
              <w:pStyle w:val="BodyText"/>
              <w:rPr>
                <w:sz w:val="20"/>
                <w:szCs w:val="20"/>
              </w:rPr>
            </w:pPr>
            <w:r w:rsidRPr="00161271">
              <w:rPr>
                <w:sz w:val="20"/>
                <w:szCs w:val="20"/>
              </w:rPr>
              <w:t>59.855771</w:t>
            </w:r>
          </w:p>
        </w:tc>
      </w:tr>
      <w:tr w:rsidR="004E13C3" w:rsidRPr="00161271" w14:paraId="313E6D59" w14:textId="77777777" w:rsidTr="008B2594">
        <w:tc>
          <w:tcPr>
            <w:tcW w:w="2065" w:type="dxa"/>
            <w:shd w:val="clear" w:color="auto" w:fill="FFFFFF"/>
            <w:tcMar>
              <w:top w:w="120" w:type="dxa"/>
              <w:left w:w="120" w:type="dxa"/>
              <w:bottom w:w="120" w:type="dxa"/>
              <w:right w:w="120" w:type="dxa"/>
            </w:tcMar>
            <w:vAlign w:val="center"/>
            <w:hideMark/>
          </w:tcPr>
          <w:p w14:paraId="2671BBC8" w14:textId="77777777" w:rsidR="004E13C3" w:rsidRPr="00161271" w:rsidRDefault="004E13C3" w:rsidP="008B2594">
            <w:pPr>
              <w:pStyle w:val="BodyText"/>
              <w:rPr>
                <w:sz w:val="20"/>
                <w:szCs w:val="20"/>
              </w:rPr>
            </w:pPr>
            <w:proofErr w:type="spellStart"/>
            <w:r w:rsidRPr="00161271">
              <w:rPr>
                <w:sz w:val="20"/>
                <w:szCs w:val="20"/>
              </w:rPr>
              <w:t>Avrami</w:t>
            </w:r>
            <w:proofErr w:type="spellEnd"/>
            <w:r w:rsidRPr="00161271">
              <w:rPr>
                <w:sz w:val="20"/>
                <w:szCs w:val="20"/>
              </w:rPr>
              <w:t xml:space="preserve"> corrected </w:t>
            </w:r>
            <w:r w:rsidRPr="00267C17">
              <w:t>k=(ka)</w:t>
            </w:r>
            <w:r w:rsidRPr="00267C17">
              <w:rPr>
                <w:vertAlign w:val="superscript"/>
              </w:rPr>
              <w:t>1/n</w:t>
            </w:r>
          </w:p>
        </w:tc>
        <w:tc>
          <w:tcPr>
            <w:tcW w:w="1890" w:type="dxa"/>
            <w:shd w:val="clear" w:color="auto" w:fill="FFFFFF"/>
            <w:tcMar>
              <w:top w:w="120" w:type="dxa"/>
              <w:left w:w="120" w:type="dxa"/>
              <w:bottom w:w="120" w:type="dxa"/>
              <w:right w:w="120" w:type="dxa"/>
            </w:tcMar>
            <w:vAlign w:val="center"/>
            <w:hideMark/>
          </w:tcPr>
          <w:p w14:paraId="743DB26F" w14:textId="77777777" w:rsidR="004E13C3" w:rsidRPr="00161271" w:rsidRDefault="004E13C3" w:rsidP="008B2594">
            <w:pPr>
              <w:pStyle w:val="BodyText"/>
              <w:rPr>
                <w:sz w:val="20"/>
                <w:szCs w:val="20"/>
              </w:rPr>
            </w:pPr>
            <w:r w:rsidRPr="00161271">
              <w:rPr>
                <w:sz w:val="20"/>
                <w:szCs w:val="20"/>
              </w:rPr>
              <w:t>Stage II: 45–75 °C</w:t>
            </w:r>
          </w:p>
        </w:tc>
        <w:tc>
          <w:tcPr>
            <w:tcW w:w="1663" w:type="dxa"/>
            <w:shd w:val="clear" w:color="auto" w:fill="FFFFFF"/>
            <w:tcMar>
              <w:top w:w="120" w:type="dxa"/>
              <w:left w:w="120" w:type="dxa"/>
              <w:bottom w:w="120" w:type="dxa"/>
              <w:right w:w="120" w:type="dxa"/>
            </w:tcMar>
            <w:vAlign w:val="center"/>
            <w:hideMark/>
          </w:tcPr>
          <w:p w14:paraId="7DF330CD" w14:textId="77777777" w:rsidR="004E13C3" w:rsidRPr="00161271" w:rsidRDefault="004E13C3" w:rsidP="008B2594">
            <w:pPr>
              <w:pStyle w:val="BodyText"/>
              <w:rPr>
                <w:sz w:val="20"/>
                <w:szCs w:val="20"/>
              </w:rPr>
            </w:pPr>
            <w:r w:rsidRPr="00161271">
              <w:rPr>
                <w:sz w:val="20"/>
                <w:szCs w:val="20"/>
              </w:rPr>
              <w:t>45.346337</w:t>
            </w:r>
          </w:p>
        </w:tc>
        <w:tc>
          <w:tcPr>
            <w:tcW w:w="0" w:type="auto"/>
            <w:shd w:val="clear" w:color="auto" w:fill="FFFFFF"/>
            <w:tcMar>
              <w:top w:w="120" w:type="dxa"/>
              <w:left w:w="120" w:type="dxa"/>
              <w:bottom w:w="120" w:type="dxa"/>
              <w:right w:w="120" w:type="dxa"/>
            </w:tcMar>
            <w:vAlign w:val="center"/>
            <w:hideMark/>
          </w:tcPr>
          <w:p w14:paraId="75A418A3" w14:textId="77777777" w:rsidR="004E13C3" w:rsidRPr="00161271" w:rsidRDefault="004E13C3" w:rsidP="008B2594">
            <w:pPr>
              <w:pStyle w:val="BodyText"/>
              <w:rPr>
                <w:sz w:val="20"/>
                <w:szCs w:val="20"/>
              </w:rPr>
            </w:pPr>
            <w:r w:rsidRPr="00161271">
              <w:rPr>
                <w:sz w:val="20"/>
                <w:szCs w:val="20"/>
              </w:rPr>
              <w:t>0.985487</w:t>
            </w:r>
          </w:p>
        </w:tc>
        <w:tc>
          <w:tcPr>
            <w:tcW w:w="0" w:type="auto"/>
            <w:shd w:val="clear" w:color="auto" w:fill="FFFFFF"/>
            <w:tcMar>
              <w:top w:w="120" w:type="dxa"/>
              <w:left w:w="120" w:type="dxa"/>
              <w:bottom w:w="120" w:type="dxa"/>
              <w:right w:w="120" w:type="dxa"/>
            </w:tcMar>
            <w:vAlign w:val="center"/>
            <w:hideMark/>
          </w:tcPr>
          <w:p w14:paraId="33522245" w14:textId="77777777" w:rsidR="004E13C3" w:rsidRPr="00161271" w:rsidRDefault="004E13C3" w:rsidP="008B2594">
            <w:pPr>
              <w:pStyle w:val="BodyText"/>
              <w:rPr>
                <w:sz w:val="20"/>
                <w:szCs w:val="20"/>
              </w:rPr>
            </w:pPr>
            <w:r w:rsidRPr="00161271">
              <w:rPr>
                <w:sz w:val="20"/>
                <w:szCs w:val="20"/>
              </w:rPr>
              <w:t>-5454.214222</w:t>
            </w:r>
          </w:p>
        </w:tc>
        <w:tc>
          <w:tcPr>
            <w:tcW w:w="0" w:type="auto"/>
            <w:shd w:val="clear" w:color="auto" w:fill="FFFFFF"/>
            <w:tcMar>
              <w:top w:w="120" w:type="dxa"/>
              <w:left w:w="120" w:type="dxa"/>
              <w:bottom w:w="120" w:type="dxa"/>
              <w:right w:w="120" w:type="dxa"/>
            </w:tcMar>
            <w:vAlign w:val="center"/>
            <w:hideMark/>
          </w:tcPr>
          <w:p w14:paraId="70F9910C" w14:textId="77777777" w:rsidR="004E13C3" w:rsidRPr="00161271" w:rsidRDefault="004E13C3" w:rsidP="008B2594">
            <w:pPr>
              <w:pStyle w:val="BodyText"/>
              <w:rPr>
                <w:sz w:val="20"/>
                <w:szCs w:val="20"/>
              </w:rPr>
            </w:pPr>
            <w:r w:rsidRPr="00161271">
              <w:rPr>
                <w:sz w:val="20"/>
                <w:szCs w:val="20"/>
              </w:rPr>
              <w:t>10.346163</w:t>
            </w:r>
          </w:p>
        </w:tc>
      </w:tr>
      <w:tr w:rsidR="004E13C3" w:rsidRPr="00161271" w14:paraId="2A2B35D9" w14:textId="77777777" w:rsidTr="008B2594">
        <w:tc>
          <w:tcPr>
            <w:tcW w:w="2065" w:type="dxa"/>
            <w:shd w:val="clear" w:color="auto" w:fill="FFFFFF"/>
            <w:tcMar>
              <w:top w:w="120" w:type="dxa"/>
              <w:left w:w="120" w:type="dxa"/>
              <w:bottom w:w="120" w:type="dxa"/>
              <w:right w:w="120" w:type="dxa"/>
            </w:tcMar>
            <w:vAlign w:val="center"/>
            <w:hideMark/>
          </w:tcPr>
          <w:p w14:paraId="42F5D011" w14:textId="77777777" w:rsidR="004E13C3" w:rsidRPr="00161271" w:rsidRDefault="004E13C3" w:rsidP="008B2594">
            <w:pPr>
              <w:pStyle w:val="BodyText"/>
              <w:rPr>
                <w:sz w:val="20"/>
                <w:szCs w:val="20"/>
              </w:rPr>
            </w:pPr>
            <w:proofErr w:type="spellStart"/>
            <w:r w:rsidRPr="00161271">
              <w:rPr>
                <w:sz w:val="20"/>
                <w:szCs w:val="20"/>
              </w:rPr>
              <w:t>Avrami</w:t>
            </w:r>
            <w:proofErr w:type="spellEnd"/>
            <w:r w:rsidRPr="00161271">
              <w:rPr>
                <w:sz w:val="20"/>
                <w:szCs w:val="20"/>
              </w:rPr>
              <w:t xml:space="preserve"> corrected </w:t>
            </w:r>
            <w:r w:rsidRPr="00267C17">
              <w:t>k=(ka)</w:t>
            </w:r>
            <w:r w:rsidRPr="00267C17">
              <w:rPr>
                <w:vertAlign w:val="superscript"/>
              </w:rPr>
              <w:t>1/n</w:t>
            </w:r>
          </w:p>
        </w:tc>
        <w:tc>
          <w:tcPr>
            <w:tcW w:w="1890" w:type="dxa"/>
            <w:shd w:val="clear" w:color="auto" w:fill="FFFFFF"/>
            <w:tcMar>
              <w:top w:w="120" w:type="dxa"/>
              <w:left w:w="120" w:type="dxa"/>
              <w:bottom w:w="120" w:type="dxa"/>
              <w:right w:w="120" w:type="dxa"/>
            </w:tcMar>
            <w:vAlign w:val="center"/>
            <w:hideMark/>
          </w:tcPr>
          <w:p w14:paraId="6B3BE2C2" w14:textId="77777777" w:rsidR="004E13C3" w:rsidRPr="00161271" w:rsidRDefault="004E13C3" w:rsidP="008B2594">
            <w:pPr>
              <w:pStyle w:val="BodyText"/>
              <w:rPr>
                <w:sz w:val="20"/>
                <w:szCs w:val="20"/>
              </w:rPr>
            </w:pPr>
            <w:r w:rsidRPr="00161271">
              <w:rPr>
                <w:sz w:val="20"/>
                <w:szCs w:val="20"/>
              </w:rPr>
              <w:t>Stage III: 75–90 °C</w:t>
            </w:r>
          </w:p>
        </w:tc>
        <w:tc>
          <w:tcPr>
            <w:tcW w:w="1663" w:type="dxa"/>
            <w:shd w:val="clear" w:color="auto" w:fill="FFFFFF"/>
            <w:tcMar>
              <w:top w:w="120" w:type="dxa"/>
              <w:left w:w="120" w:type="dxa"/>
              <w:bottom w:w="120" w:type="dxa"/>
              <w:right w:w="120" w:type="dxa"/>
            </w:tcMar>
            <w:vAlign w:val="center"/>
            <w:hideMark/>
          </w:tcPr>
          <w:p w14:paraId="73770A5C" w14:textId="77777777" w:rsidR="004E13C3" w:rsidRPr="00161271" w:rsidRDefault="004E13C3" w:rsidP="008B2594">
            <w:pPr>
              <w:pStyle w:val="BodyText"/>
              <w:rPr>
                <w:sz w:val="20"/>
                <w:szCs w:val="20"/>
              </w:rPr>
            </w:pPr>
            <w:r w:rsidRPr="00161271">
              <w:rPr>
                <w:sz w:val="20"/>
                <w:szCs w:val="20"/>
              </w:rPr>
              <w:t>12.214421</w:t>
            </w:r>
          </w:p>
        </w:tc>
        <w:tc>
          <w:tcPr>
            <w:tcW w:w="0" w:type="auto"/>
            <w:shd w:val="clear" w:color="auto" w:fill="FFFFFF"/>
            <w:tcMar>
              <w:top w:w="120" w:type="dxa"/>
              <w:left w:w="120" w:type="dxa"/>
              <w:bottom w:w="120" w:type="dxa"/>
              <w:right w:w="120" w:type="dxa"/>
            </w:tcMar>
            <w:vAlign w:val="center"/>
            <w:hideMark/>
          </w:tcPr>
          <w:p w14:paraId="38D55C31" w14:textId="77777777" w:rsidR="004E13C3" w:rsidRPr="00161271" w:rsidRDefault="004E13C3" w:rsidP="008B2594">
            <w:pPr>
              <w:pStyle w:val="BodyText"/>
              <w:rPr>
                <w:sz w:val="20"/>
                <w:szCs w:val="20"/>
              </w:rPr>
            </w:pPr>
            <w:r w:rsidRPr="00161271">
              <w:rPr>
                <w:sz w:val="20"/>
                <w:szCs w:val="20"/>
              </w:rPr>
              <w:t>1.000000</w:t>
            </w:r>
          </w:p>
        </w:tc>
        <w:tc>
          <w:tcPr>
            <w:tcW w:w="0" w:type="auto"/>
            <w:shd w:val="clear" w:color="auto" w:fill="FFFFFF"/>
            <w:tcMar>
              <w:top w:w="120" w:type="dxa"/>
              <w:left w:w="120" w:type="dxa"/>
              <w:bottom w:w="120" w:type="dxa"/>
              <w:right w:w="120" w:type="dxa"/>
            </w:tcMar>
            <w:vAlign w:val="center"/>
            <w:hideMark/>
          </w:tcPr>
          <w:p w14:paraId="6C3E8583" w14:textId="77777777" w:rsidR="004E13C3" w:rsidRPr="00161271" w:rsidRDefault="004E13C3" w:rsidP="008B2594">
            <w:pPr>
              <w:pStyle w:val="BodyText"/>
              <w:rPr>
                <w:sz w:val="20"/>
                <w:szCs w:val="20"/>
              </w:rPr>
            </w:pPr>
            <w:r w:rsidRPr="00161271">
              <w:rPr>
                <w:sz w:val="20"/>
                <w:szCs w:val="20"/>
              </w:rPr>
              <w:t>-1469.138919</w:t>
            </w:r>
          </w:p>
        </w:tc>
        <w:tc>
          <w:tcPr>
            <w:tcW w:w="0" w:type="auto"/>
            <w:shd w:val="clear" w:color="auto" w:fill="FFFFFF"/>
            <w:tcMar>
              <w:top w:w="120" w:type="dxa"/>
              <w:left w:w="120" w:type="dxa"/>
              <w:bottom w:w="120" w:type="dxa"/>
              <w:right w:w="120" w:type="dxa"/>
            </w:tcMar>
            <w:vAlign w:val="center"/>
            <w:hideMark/>
          </w:tcPr>
          <w:p w14:paraId="3594D7E5" w14:textId="77777777" w:rsidR="004E13C3" w:rsidRPr="00161271" w:rsidRDefault="004E13C3" w:rsidP="008B2594">
            <w:pPr>
              <w:pStyle w:val="BodyText"/>
              <w:rPr>
                <w:sz w:val="20"/>
                <w:szCs w:val="20"/>
              </w:rPr>
            </w:pPr>
            <w:r w:rsidRPr="00161271">
              <w:rPr>
                <w:sz w:val="20"/>
                <w:szCs w:val="20"/>
              </w:rPr>
              <w:t>-1.154350</w:t>
            </w:r>
          </w:p>
        </w:tc>
      </w:tr>
    </w:tbl>
    <w:p w14:paraId="39727B4B" w14:textId="77777777" w:rsidR="004E13C3" w:rsidRDefault="004E13C3" w:rsidP="004E13C3"/>
    <w:p w14:paraId="6A707139" w14:textId="77777777" w:rsidR="004E13C3" w:rsidRDefault="004E13C3" w:rsidP="00973E69">
      <w:pPr>
        <w:pStyle w:val="Caption"/>
      </w:pPr>
    </w:p>
    <w:p w14:paraId="06F5B12F" w14:textId="77777777" w:rsidR="004E13C3" w:rsidRPr="0033634E" w:rsidRDefault="004E13C3" w:rsidP="00973E69">
      <w:pPr>
        <w:pStyle w:val="Caption"/>
      </w:pPr>
    </w:p>
    <w:p w14:paraId="7459CBDE" w14:textId="55038BAE" w:rsidR="0033634E" w:rsidRDefault="0033634E" w:rsidP="0033634E">
      <w:pPr>
        <w:pStyle w:val="Caption"/>
      </w:pPr>
    </w:p>
    <w:p w14:paraId="4D754C9D" w14:textId="0CFFC4B4" w:rsidR="00D45ACF" w:rsidRDefault="00973E69" w:rsidP="00065E10">
      <w:pPr>
        <w:pStyle w:val="BodyText"/>
      </w:pPr>
      <w:r>
        <w:rPr>
          <w:noProof/>
        </w:rPr>
        <w:lastRenderedPageBreak/>
        <w:drawing>
          <wp:inline distT="0" distB="0" distL="0" distR="0" wp14:anchorId="4B29D94C" wp14:editId="6790FE5A">
            <wp:extent cx="5972810" cy="2081530"/>
            <wp:effectExtent l="0" t="0" r="889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72810" cy="2081530"/>
                    </a:xfrm>
                    <a:prstGeom prst="rect">
                      <a:avLst/>
                    </a:prstGeom>
                  </pic:spPr>
                </pic:pic>
              </a:graphicData>
            </a:graphic>
          </wp:inline>
        </w:drawing>
      </w:r>
    </w:p>
    <w:p w14:paraId="3D83714E" w14:textId="4B59D183" w:rsidR="00D45ACF" w:rsidRPr="00267C17" w:rsidRDefault="00973E69" w:rsidP="00755D3F">
      <w:pPr>
        <w:pStyle w:val="Caption"/>
        <w:jc w:val="center"/>
      </w:pPr>
      <w:proofErr w:type="spellStart"/>
      <w:r>
        <w:t>FigureS</w:t>
      </w:r>
      <w:proofErr w:type="spellEnd"/>
      <w:r>
        <w:t xml:space="preserve"> </w:t>
      </w:r>
      <w:r>
        <w:fldChar w:fldCharType="begin"/>
      </w:r>
      <w:r>
        <w:instrText xml:space="preserve"> SEQ FigureS \* ARABIC </w:instrText>
      </w:r>
      <w:r>
        <w:fldChar w:fldCharType="separate"/>
      </w:r>
      <w:r w:rsidR="00A27D86">
        <w:rPr>
          <w:noProof/>
        </w:rPr>
        <w:t>2</w:t>
      </w:r>
      <w:r>
        <w:fldChar w:fldCharType="end"/>
      </w:r>
      <w:r w:rsidR="0033634E">
        <w:t>Time-dependent</w:t>
      </w:r>
      <w:r w:rsidR="0033634E" w:rsidRPr="0033634E">
        <w:t xml:space="preserve"> variation of the DTG decomposition maximum temperature (T(</w:t>
      </w:r>
      <w:proofErr w:type="spellStart"/>
      <w:r w:rsidR="0033634E" w:rsidRPr="0033634E">
        <w:t>DTGmax</w:t>
      </w:r>
      <w:proofErr w:type="spellEnd"/>
      <w:r w:rsidR="0033634E" w:rsidRPr="0033634E">
        <w:t>)) during wet wollastonite carbonation: (a) comparison of fine and coarse wollastonite at 90°C, and (b) carbonation at 25°C, 45°C, 60°C, 75°C, and 90°C. The plots show differences in carbonate-product development and indicate progressively increasing thermal stability of the carbonate phase with reaction time, temperature, and particle-size fraction.</w:t>
      </w:r>
    </w:p>
    <w:p w14:paraId="17C00C87" w14:textId="77777777" w:rsidR="00D45ACF" w:rsidRPr="00267C17" w:rsidRDefault="00D45ACF" w:rsidP="00D45ACF">
      <w:pPr>
        <w:pStyle w:val="BodyText"/>
      </w:pPr>
    </w:p>
    <w:sectPr w:rsidR="00D45ACF" w:rsidRPr="00267C17" w:rsidSect="00DC0C81">
      <w:footerReference w:type="first" r:id="rId20"/>
      <w:pgSz w:w="12240" w:h="15840"/>
      <w:pgMar w:top="1417" w:right="1417" w:bottom="1134" w:left="1417"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6C43D1" w14:textId="77777777" w:rsidR="00623612" w:rsidRDefault="00623612">
      <w:pPr>
        <w:spacing w:after="0"/>
      </w:pPr>
      <w:r>
        <w:separator/>
      </w:r>
    </w:p>
  </w:endnote>
  <w:endnote w:type="continuationSeparator" w:id="0">
    <w:p w14:paraId="3F65D281" w14:textId="77777777" w:rsidR="00623612" w:rsidRDefault="0062361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FBED55" w14:textId="77777777" w:rsidR="0030218D" w:rsidRPr="0030218D" w:rsidRDefault="0030218D" w:rsidP="0030218D">
    <w:pPr>
      <w:pStyle w:val="ListBullet"/>
      <w:numPr>
        <w:ilvl w:val="0"/>
        <w:numId w:val="0"/>
      </w:numPr>
      <w:spacing w:after="40"/>
      <w:rPr>
        <w:sz w:val="14"/>
        <w:szCs w:val="16"/>
        <w:lang w:val="de-DE"/>
      </w:rPr>
    </w:pPr>
    <w:r w:rsidRPr="0030218D">
      <w:rPr>
        <w:sz w:val="14"/>
        <w:szCs w:val="16"/>
        <w:vertAlign w:val="superscript"/>
        <w:lang w:val="de-DE"/>
      </w:rPr>
      <w:t>1</w:t>
    </w:r>
    <w:r w:rsidRPr="0030218D">
      <w:rPr>
        <w:sz w:val="14"/>
        <w:szCs w:val="16"/>
        <w:lang w:val="de-DE"/>
      </w:rPr>
      <w:t xml:space="preserve">Helmholtz-Zentrum Dresden-Rossendorf, Helmholtz Institute Freiberg </w:t>
    </w:r>
    <w:proofErr w:type="spellStart"/>
    <w:r w:rsidRPr="0030218D">
      <w:rPr>
        <w:sz w:val="14"/>
        <w:szCs w:val="16"/>
        <w:lang w:val="de-DE"/>
      </w:rPr>
      <w:t>for</w:t>
    </w:r>
    <w:proofErr w:type="spellEnd"/>
    <w:r w:rsidRPr="0030218D">
      <w:rPr>
        <w:sz w:val="14"/>
        <w:szCs w:val="16"/>
        <w:lang w:val="de-DE"/>
      </w:rPr>
      <w:t xml:space="preserve"> </w:t>
    </w:r>
    <w:proofErr w:type="spellStart"/>
    <w:r w:rsidRPr="0030218D">
      <w:rPr>
        <w:sz w:val="14"/>
        <w:szCs w:val="16"/>
        <w:lang w:val="de-DE"/>
      </w:rPr>
      <w:t>Resource</w:t>
    </w:r>
    <w:proofErr w:type="spellEnd"/>
    <w:r w:rsidRPr="0030218D">
      <w:rPr>
        <w:sz w:val="14"/>
        <w:szCs w:val="16"/>
        <w:lang w:val="de-DE"/>
      </w:rPr>
      <w:t xml:space="preserve"> Technology, Chemnitzer Str. 40, 09599 </w:t>
    </w:r>
    <w:proofErr w:type="spellStart"/>
    <w:proofErr w:type="gramStart"/>
    <w:r w:rsidRPr="0030218D">
      <w:rPr>
        <w:sz w:val="14"/>
        <w:szCs w:val="16"/>
        <w:lang w:val="de-DE"/>
      </w:rPr>
      <w:t>Freiberg,Germany</w:t>
    </w:r>
    <w:proofErr w:type="spellEnd"/>
    <w:proofErr w:type="gramEnd"/>
  </w:p>
  <w:p w14:paraId="43221921" w14:textId="6AD7A25E" w:rsidR="00DC0C81" w:rsidRPr="00F14DBC" w:rsidRDefault="0030218D" w:rsidP="00F14DBC">
    <w:pPr>
      <w:pStyle w:val="ListBullet"/>
      <w:numPr>
        <w:ilvl w:val="0"/>
        <w:numId w:val="0"/>
      </w:numPr>
      <w:spacing w:after="40"/>
      <w:rPr>
        <w:sz w:val="14"/>
        <w:szCs w:val="16"/>
      </w:rPr>
    </w:pPr>
    <w:r w:rsidRPr="0030218D">
      <w:rPr>
        <w:sz w:val="14"/>
        <w:szCs w:val="16"/>
        <w:vertAlign w:val="superscript"/>
      </w:rPr>
      <w:t>2</w:t>
    </w:r>
    <w:r w:rsidRPr="0030218D">
      <w:rPr>
        <w:sz w:val="14"/>
        <w:szCs w:val="16"/>
      </w:rPr>
      <w:t>HZDR Innovation GmbH, Dresden, Germany</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BE39BA" w14:textId="77777777" w:rsidR="00623612" w:rsidRDefault="00623612">
      <w:r>
        <w:separator/>
      </w:r>
    </w:p>
  </w:footnote>
  <w:footnote w:type="continuationSeparator" w:id="0">
    <w:p w14:paraId="072AB040" w14:textId="77777777" w:rsidR="00623612" w:rsidRDefault="0062361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77E8762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DF79E0"/>
    <w:multiLevelType w:val="hybridMultilevel"/>
    <w:tmpl w:val="471433A0"/>
    <w:lvl w:ilvl="0" w:tplc="969A398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4B53B5C"/>
    <w:multiLevelType w:val="hybridMultilevel"/>
    <w:tmpl w:val="CD060AD4"/>
    <w:lvl w:ilvl="0" w:tplc="D42632D0">
      <w:start w:val="1"/>
      <w:numFmt w:val="bullet"/>
      <w:lvlText w:val="•"/>
      <w:lvlJc w:val="left"/>
      <w:pPr>
        <w:tabs>
          <w:tab w:val="num" w:pos="720"/>
        </w:tabs>
        <w:ind w:left="720" w:hanging="360"/>
      </w:pPr>
      <w:rPr>
        <w:rFonts w:ascii="Times New Roman" w:hAnsi="Times New Roman" w:hint="default"/>
      </w:rPr>
    </w:lvl>
    <w:lvl w:ilvl="1" w:tplc="E090860C" w:tentative="1">
      <w:start w:val="1"/>
      <w:numFmt w:val="bullet"/>
      <w:lvlText w:val="•"/>
      <w:lvlJc w:val="left"/>
      <w:pPr>
        <w:tabs>
          <w:tab w:val="num" w:pos="1440"/>
        </w:tabs>
        <w:ind w:left="1440" w:hanging="360"/>
      </w:pPr>
      <w:rPr>
        <w:rFonts w:ascii="Times New Roman" w:hAnsi="Times New Roman" w:hint="default"/>
      </w:rPr>
    </w:lvl>
    <w:lvl w:ilvl="2" w:tplc="F64C5522" w:tentative="1">
      <w:start w:val="1"/>
      <w:numFmt w:val="bullet"/>
      <w:lvlText w:val="•"/>
      <w:lvlJc w:val="left"/>
      <w:pPr>
        <w:tabs>
          <w:tab w:val="num" w:pos="2160"/>
        </w:tabs>
        <w:ind w:left="2160" w:hanging="360"/>
      </w:pPr>
      <w:rPr>
        <w:rFonts w:ascii="Times New Roman" w:hAnsi="Times New Roman" w:hint="default"/>
      </w:rPr>
    </w:lvl>
    <w:lvl w:ilvl="3" w:tplc="4978EC7A" w:tentative="1">
      <w:start w:val="1"/>
      <w:numFmt w:val="bullet"/>
      <w:lvlText w:val="•"/>
      <w:lvlJc w:val="left"/>
      <w:pPr>
        <w:tabs>
          <w:tab w:val="num" w:pos="2880"/>
        </w:tabs>
        <w:ind w:left="2880" w:hanging="360"/>
      </w:pPr>
      <w:rPr>
        <w:rFonts w:ascii="Times New Roman" w:hAnsi="Times New Roman" w:hint="default"/>
      </w:rPr>
    </w:lvl>
    <w:lvl w:ilvl="4" w:tplc="C77694B8" w:tentative="1">
      <w:start w:val="1"/>
      <w:numFmt w:val="bullet"/>
      <w:lvlText w:val="•"/>
      <w:lvlJc w:val="left"/>
      <w:pPr>
        <w:tabs>
          <w:tab w:val="num" w:pos="3600"/>
        </w:tabs>
        <w:ind w:left="3600" w:hanging="360"/>
      </w:pPr>
      <w:rPr>
        <w:rFonts w:ascii="Times New Roman" w:hAnsi="Times New Roman" w:hint="default"/>
      </w:rPr>
    </w:lvl>
    <w:lvl w:ilvl="5" w:tplc="C2E4380A" w:tentative="1">
      <w:start w:val="1"/>
      <w:numFmt w:val="bullet"/>
      <w:lvlText w:val="•"/>
      <w:lvlJc w:val="left"/>
      <w:pPr>
        <w:tabs>
          <w:tab w:val="num" w:pos="4320"/>
        </w:tabs>
        <w:ind w:left="4320" w:hanging="360"/>
      </w:pPr>
      <w:rPr>
        <w:rFonts w:ascii="Times New Roman" w:hAnsi="Times New Roman" w:hint="default"/>
      </w:rPr>
    </w:lvl>
    <w:lvl w:ilvl="6" w:tplc="2C16A5D2" w:tentative="1">
      <w:start w:val="1"/>
      <w:numFmt w:val="bullet"/>
      <w:lvlText w:val="•"/>
      <w:lvlJc w:val="left"/>
      <w:pPr>
        <w:tabs>
          <w:tab w:val="num" w:pos="5040"/>
        </w:tabs>
        <w:ind w:left="5040" w:hanging="360"/>
      </w:pPr>
      <w:rPr>
        <w:rFonts w:ascii="Times New Roman" w:hAnsi="Times New Roman" w:hint="default"/>
      </w:rPr>
    </w:lvl>
    <w:lvl w:ilvl="7" w:tplc="E0C69E88" w:tentative="1">
      <w:start w:val="1"/>
      <w:numFmt w:val="bullet"/>
      <w:lvlText w:val="•"/>
      <w:lvlJc w:val="left"/>
      <w:pPr>
        <w:tabs>
          <w:tab w:val="num" w:pos="5760"/>
        </w:tabs>
        <w:ind w:left="5760" w:hanging="360"/>
      </w:pPr>
      <w:rPr>
        <w:rFonts w:ascii="Times New Roman" w:hAnsi="Times New Roman" w:hint="default"/>
      </w:rPr>
    </w:lvl>
    <w:lvl w:ilvl="8" w:tplc="4E3A6482"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1844121B"/>
    <w:multiLevelType w:val="hybridMultilevel"/>
    <w:tmpl w:val="9A30CBB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CF35080"/>
    <w:multiLevelType w:val="hybridMultilevel"/>
    <w:tmpl w:val="F196A830"/>
    <w:lvl w:ilvl="0" w:tplc="DF1CB7D2">
      <w:start w:val="1"/>
      <w:numFmt w:val="bullet"/>
      <w:lvlText w:val="•"/>
      <w:lvlJc w:val="left"/>
      <w:pPr>
        <w:tabs>
          <w:tab w:val="num" w:pos="720"/>
        </w:tabs>
        <w:ind w:left="720" w:hanging="360"/>
      </w:pPr>
      <w:rPr>
        <w:rFonts w:ascii="Times New Roman" w:hAnsi="Times New Roman" w:hint="default"/>
      </w:rPr>
    </w:lvl>
    <w:lvl w:ilvl="1" w:tplc="98C2C800" w:tentative="1">
      <w:start w:val="1"/>
      <w:numFmt w:val="bullet"/>
      <w:lvlText w:val="•"/>
      <w:lvlJc w:val="left"/>
      <w:pPr>
        <w:tabs>
          <w:tab w:val="num" w:pos="1440"/>
        </w:tabs>
        <w:ind w:left="1440" w:hanging="360"/>
      </w:pPr>
      <w:rPr>
        <w:rFonts w:ascii="Times New Roman" w:hAnsi="Times New Roman" w:hint="default"/>
      </w:rPr>
    </w:lvl>
    <w:lvl w:ilvl="2" w:tplc="2670F7DA" w:tentative="1">
      <w:start w:val="1"/>
      <w:numFmt w:val="bullet"/>
      <w:lvlText w:val="•"/>
      <w:lvlJc w:val="left"/>
      <w:pPr>
        <w:tabs>
          <w:tab w:val="num" w:pos="2160"/>
        </w:tabs>
        <w:ind w:left="2160" w:hanging="360"/>
      </w:pPr>
      <w:rPr>
        <w:rFonts w:ascii="Times New Roman" w:hAnsi="Times New Roman" w:hint="default"/>
      </w:rPr>
    </w:lvl>
    <w:lvl w:ilvl="3" w:tplc="07F6E1F2" w:tentative="1">
      <w:start w:val="1"/>
      <w:numFmt w:val="bullet"/>
      <w:lvlText w:val="•"/>
      <w:lvlJc w:val="left"/>
      <w:pPr>
        <w:tabs>
          <w:tab w:val="num" w:pos="2880"/>
        </w:tabs>
        <w:ind w:left="2880" w:hanging="360"/>
      </w:pPr>
      <w:rPr>
        <w:rFonts w:ascii="Times New Roman" w:hAnsi="Times New Roman" w:hint="default"/>
      </w:rPr>
    </w:lvl>
    <w:lvl w:ilvl="4" w:tplc="B5E0EF14" w:tentative="1">
      <w:start w:val="1"/>
      <w:numFmt w:val="bullet"/>
      <w:lvlText w:val="•"/>
      <w:lvlJc w:val="left"/>
      <w:pPr>
        <w:tabs>
          <w:tab w:val="num" w:pos="3600"/>
        </w:tabs>
        <w:ind w:left="3600" w:hanging="360"/>
      </w:pPr>
      <w:rPr>
        <w:rFonts w:ascii="Times New Roman" w:hAnsi="Times New Roman" w:hint="default"/>
      </w:rPr>
    </w:lvl>
    <w:lvl w:ilvl="5" w:tplc="65D62040" w:tentative="1">
      <w:start w:val="1"/>
      <w:numFmt w:val="bullet"/>
      <w:lvlText w:val="•"/>
      <w:lvlJc w:val="left"/>
      <w:pPr>
        <w:tabs>
          <w:tab w:val="num" w:pos="4320"/>
        </w:tabs>
        <w:ind w:left="4320" w:hanging="360"/>
      </w:pPr>
      <w:rPr>
        <w:rFonts w:ascii="Times New Roman" w:hAnsi="Times New Roman" w:hint="default"/>
      </w:rPr>
    </w:lvl>
    <w:lvl w:ilvl="6" w:tplc="BD70EC20" w:tentative="1">
      <w:start w:val="1"/>
      <w:numFmt w:val="bullet"/>
      <w:lvlText w:val="•"/>
      <w:lvlJc w:val="left"/>
      <w:pPr>
        <w:tabs>
          <w:tab w:val="num" w:pos="5040"/>
        </w:tabs>
        <w:ind w:left="5040" w:hanging="360"/>
      </w:pPr>
      <w:rPr>
        <w:rFonts w:ascii="Times New Roman" w:hAnsi="Times New Roman" w:hint="default"/>
      </w:rPr>
    </w:lvl>
    <w:lvl w:ilvl="7" w:tplc="3288E458" w:tentative="1">
      <w:start w:val="1"/>
      <w:numFmt w:val="bullet"/>
      <w:lvlText w:val="•"/>
      <w:lvlJc w:val="left"/>
      <w:pPr>
        <w:tabs>
          <w:tab w:val="num" w:pos="5760"/>
        </w:tabs>
        <w:ind w:left="5760" w:hanging="360"/>
      </w:pPr>
      <w:rPr>
        <w:rFonts w:ascii="Times New Roman" w:hAnsi="Times New Roman" w:hint="default"/>
      </w:rPr>
    </w:lvl>
    <w:lvl w:ilvl="8" w:tplc="C7D862C8"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28E22B66"/>
    <w:multiLevelType w:val="hybridMultilevel"/>
    <w:tmpl w:val="40FC99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C1AE401"/>
    <w:multiLevelType w:val="multilevel"/>
    <w:tmpl w:val="07BACDDC"/>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7" w15:restartNumberingAfterBreak="0">
    <w:nsid w:val="2EA06522"/>
    <w:multiLevelType w:val="hybridMultilevel"/>
    <w:tmpl w:val="8D6C0D5C"/>
    <w:lvl w:ilvl="0" w:tplc="0409000F">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12052E0"/>
    <w:multiLevelType w:val="hybridMultilevel"/>
    <w:tmpl w:val="92924E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46F35F1"/>
    <w:multiLevelType w:val="multilevel"/>
    <w:tmpl w:val="323C6D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56B7FC7"/>
    <w:multiLevelType w:val="hybridMultilevel"/>
    <w:tmpl w:val="DA8A66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85546CA"/>
    <w:multiLevelType w:val="hybridMultilevel"/>
    <w:tmpl w:val="E59875FA"/>
    <w:lvl w:ilvl="0" w:tplc="0409000F">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A132148"/>
    <w:multiLevelType w:val="hybridMultilevel"/>
    <w:tmpl w:val="B42C8D66"/>
    <w:lvl w:ilvl="0" w:tplc="0476674E">
      <w:start w:val="1"/>
      <w:numFmt w:val="lowerLetter"/>
      <w:lvlText w:val="%1."/>
      <w:lvlJc w:val="left"/>
      <w:pPr>
        <w:ind w:left="1470" w:hanging="360"/>
      </w:pPr>
      <w:rPr>
        <w:rFonts w:hint="default"/>
      </w:rPr>
    </w:lvl>
    <w:lvl w:ilvl="1" w:tplc="04090019" w:tentative="1">
      <w:start w:val="1"/>
      <w:numFmt w:val="lowerLetter"/>
      <w:lvlText w:val="%2."/>
      <w:lvlJc w:val="left"/>
      <w:pPr>
        <w:ind w:left="2190" w:hanging="360"/>
      </w:pPr>
    </w:lvl>
    <w:lvl w:ilvl="2" w:tplc="0409001B" w:tentative="1">
      <w:start w:val="1"/>
      <w:numFmt w:val="lowerRoman"/>
      <w:lvlText w:val="%3."/>
      <w:lvlJc w:val="right"/>
      <w:pPr>
        <w:ind w:left="2910" w:hanging="180"/>
      </w:pPr>
    </w:lvl>
    <w:lvl w:ilvl="3" w:tplc="0409000F" w:tentative="1">
      <w:start w:val="1"/>
      <w:numFmt w:val="decimal"/>
      <w:lvlText w:val="%4."/>
      <w:lvlJc w:val="left"/>
      <w:pPr>
        <w:ind w:left="3630" w:hanging="360"/>
      </w:pPr>
    </w:lvl>
    <w:lvl w:ilvl="4" w:tplc="04090019" w:tentative="1">
      <w:start w:val="1"/>
      <w:numFmt w:val="lowerLetter"/>
      <w:lvlText w:val="%5."/>
      <w:lvlJc w:val="left"/>
      <w:pPr>
        <w:ind w:left="4350" w:hanging="360"/>
      </w:pPr>
    </w:lvl>
    <w:lvl w:ilvl="5" w:tplc="0409001B" w:tentative="1">
      <w:start w:val="1"/>
      <w:numFmt w:val="lowerRoman"/>
      <w:lvlText w:val="%6."/>
      <w:lvlJc w:val="right"/>
      <w:pPr>
        <w:ind w:left="5070" w:hanging="180"/>
      </w:pPr>
    </w:lvl>
    <w:lvl w:ilvl="6" w:tplc="0409000F" w:tentative="1">
      <w:start w:val="1"/>
      <w:numFmt w:val="decimal"/>
      <w:lvlText w:val="%7."/>
      <w:lvlJc w:val="left"/>
      <w:pPr>
        <w:ind w:left="5790" w:hanging="360"/>
      </w:pPr>
    </w:lvl>
    <w:lvl w:ilvl="7" w:tplc="04090019" w:tentative="1">
      <w:start w:val="1"/>
      <w:numFmt w:val="lowerLetter"/>
      <w:lvlText w:val="%8."/>
      <w:lvlJc w:val="left"/>
      <w:pPr>
        <w:ind w:left="6510" w:hanging="360"/>
      </w:pPr>
    </w:lvl>
    <w:lvl w:ilvl="8" w:tplc="0409001B" w:tentative="1">
      <w:start w:val="1"/>
      <w:numFmt w:val="lowerRoman"/>
      <w:lvlText w:val="%9."/>
      <w:lvlJc w:val="right"/>
      <w:pPr>
        <w:ind w:left="7230" w:hanging="180"/>
      </w:pPr>
    </w:lvl>
  </w:abstractNum>
  <w:abstractNum w:abstractNumId="13" w15:restartNumberingAfterBreak="0">
    <w:nsid w:val="3AA45A36"/>
    <w:multiLevelType w:val="hybridMultilevel"/>
    <w:tmpl w:val="4AA2C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2B0198E"/>
    <w:multiLevelType w:val="hybridMultilevel"/>
    <w:tmpl w:val="1116D076"/>
    <w:lvl w:ilvl="0" w:tplc="04090001">
      <w:start w:val="1"/>
      <w:numFmt w:val="bullet"/>
      <w:lvlText w:val=""/>
      <w:lvlJc w:val="left"/>
      <w:pPr>
        <w:ind w:left="771" w:hanging="360"/>
      </w:pPr>
      <w:rPr>
        <w:rFonts w:ascii="Symbol" w:hAnsi="Symbol" w:hint="default"/>
      </w:rPr>
    </w:lvl>
    <w:lvl w:ilvl="1" w:tplc="04090003" w:tentative="1">
      <w:start w:val="1"/>
      <w:numFmt w:val="bullet"/>
      <w:lvlText w:val="o"/>
      <w:lvlJc w:val="left"/>
      <w:pPr>
        <w:ind w:left="1491" w:hanging="360"/>
      </w:pPr>
      <w:rPr>
        <w:rFonts w:ascii="Courier New" w:hAnsi="Courier New" w:cs="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cs="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cs="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15" w15:restartNumberingAfterBreak="0">
    <w:nsid w:val="49103985"/>
    <w:multiLevelType w:val="hybridMultilevel"/>
    <w:tmpl w:val="4FDE52C2"/>
    <w:lvl w:ilvl="0" w:tplc="04090001">
      <w:start w:val="1"/>
      <w:numFmt w:val="bullet"/>
      <w:lvlText w:val=""/>
      <w:lvlJc w:val="left"/>
      <w:pPr>
        <w:ind w:left="771" w:hanging="360"/>
      </w:pPr>
      <w:rPr>
        <w:rFonts w:ascii="Symbol" w:hAnsi="Symbol" w:hint="default"/>
      </w:rPr>
    </w:lvl>
    <w:lvl w:ilvl="1" w:tplc="04090003" w:tentative="1">
      <w:start w:val="1"/>
      <w:numFmt w:val="bullet"/>
      <w:lvlText w:val="o"/>
      <w:lvlJc w:val="left"/>
      <w:pPr>
        <w:ind w:left="1491" w:hanging="360"/>
      </w:pPr>
      <w:rPr>
        <w:rFonts w:ascii="Courier New" w:hAnsi="Courier New" w:cs="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cs="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cs="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16" w15:restartNumberingAfterBreak="0">
    <w:nsid w:val="525E2212"/>
    <w:multiLevelType w:val="hybridMultilevel"/>
    <w:tmpl w:val="6E16C7BC"/>
    <w:lvl w:ilvl="0" w:tplc="04090001">
      <w:start w:val="1"/>
      <w:numFmt w:val="bullet"/>
      <w:lvlText w:val=""/>
      <w:lvlJc w:val="left"/>
      <w:pPr>
        <w:ind w:left="771" w:hanging="360"/>
      </w:pPr>
      <w:rPr>
        <w:rFonts w:ascii="Symbol" w:hAnsi="Symbol" w:hint="default"/>
      </w:rPr>
    </w:lvl>
    <w:lvl w:ilvl="1" w:tplc="04090003" w:tentative="1">
      <w:start w:val="1"/>
      <w:numFmt w:val="bullet"/>
      <w:lvlText w:val="o"/>
      <w:lvlJc w:val="left"/>
      <w:pPr>
        <w:ind w:left="1491" w:hanging="360"/>
      </w:pPr>
      <w:rPr>
        <w:rFonts w:ascii="Courier New" w:hAnsi="Courier New" w:cs="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cs="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cs="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17" w15:restartNumberingAfterBreak="0">
    <w:nsid w:val="5779171B"/>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8" w15:restartNumberingAfterBreak="0">
    <w:nsid w:val="5A0F2DE2"/>
    <w:multiLevelType w:val="hybridMultilevel"/>
    <w:tmpl w:val="0C740954"/>
    <w:lvl w:ilvl="0" w:tplc="6696EDDE">
      <w:start w:val="3"/>
      <w:numFmt w:val="bullet"/>
      <w:lvlText w:val="-"/>
      <w:lvlJc w:val="left"/>
      <w:pPr>
        <w:ind w:left="720" w:hanging="360"/>
      </w:pPr>
      <w:rPr>
        <w:rFonts w:ascii="Cambria" w:eastAsia="Cambria" w:hAnsi="Cambria" w:cs="Aria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716D220F"/>
    <w:multiLevelType w:val="hybridMultilevel"/>
    <w:tmpl w:val="92924EE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920212202">
    <w:abstractNumId w:val="6"/>
  </w:num>
  <w:num w:numId="2" w16cid:durableId="641808224">
    <w:abstractNumId w:val="13"/>
  </w:num>
  <w:num w:numId="3" w16cid:durableId="464201376">
    <w:abstractNumId w:val="15"/>
  </w:num>
  <w:num w:numId="4" w16cid:durableId="1956935217">
    <w:abstractNumId w:val="14"/>
  </w:num>
  <w:num w:numId="5" w16cid:durableId="1975986051">
    <w:abstractNumId w:val="16"/>
  </w:num>
  <w:num w:numId="6" w16cid:durableId="46535239">
    <w:abstractNumId w:val="4"/>
  </w:num>
  <w:num w:numId="7" w16cid:durableId="1589653218">
    <w:abstractNumId w:val="2"/>
  </w:num>
  <w:num w:numId="8" w16cid:durableId="1285042704">
    <w:abstractNumId w:val="12"/>
  </w:num>
  <w:num w:numId="9" w16cid:durableId="1092969874">
    <w:abstractNumId w:val="3"/>
  </w:num>
  <w:num w:numId="10" w16cid:durableId="1321041369">
    <w:abstractNumId w:val="1"/>
  </w:num>
  <w:num w:numId="11" w16cid:durableId="1370762129">
    <w:abstractNumId w:val="9"/>
  </w:num>
  <w:num w:numId="12" w16cid:durableId="510922102">
    <w:abstractNumId w:val="10"/>
  </w:num>
  <w:num w:numId="13" w16cid:durableId="534270523">
    <w:abstractNumId w:val="5"/>
  </w:num>
  <w:num w:numId="14" w16cid:durableId="1990094826">
    <w:abstractNumId w:val="7"/>
  </w:num>
  <w:num w:numId="15" w16cid:durableId="1059087364">
    <w:abstractNumId w:val="11"/>
  </w:num>
  <w:num w:numId="16" w16cid:durableId="1190875888">
    <w:abstractNumId w:val="8"/>
  </w:num>
  <w:num w:numId="17" w16cid:durableId="305816886">
    <w:abstractNumId w:val="17"/>
  </w:num>
  <w:num w:numId="18" w16cid:durableId="217282629">
    <w:abstractNumId w:val="0"/>
  </w:num>
  <w:num w:numId="19" w16cid:durableId="1125733839">
    <w:abstractNumId w:val="18"/>
  </w:num>
  <w:num w:numId="20" w16cid:durableId="123111460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embedSystemFonts/>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0D07"/>
    <w:rsid w:val="00001E70"/>
    <w:rsid w:val="00002E76"/>
    <w:rsid w:val="00005262"/>
    <w:rsid w:val="00006EA1"/>
    <w:rsid w:val="00010188"/>
    <w:rsid w:val="00010CF3"/>
    <w:rsid w:val="00011C8B"/>
    <w:rsid w:val="000137FF"/>
    <w:rsid w:val="00013812"/>
    <w:rsid w:val="00014C40"/>
    <w:rsid w:val="00015C48"/>
    <w:rsid w:val="0001657B"/>
    <w:rsid w:val="000211EA"/>
    <w:rsid w:val="000219E0"/>
    <w:rsid w:val="00022F27"/>
    <w:rsid w:val="00023BB0"/>
    <w:rsid w:val="00024321"/>
    <w:rsid w:val="00025CF8"/>
    <w:rsid w:val="00025EA2"/>
    <w:rsid w:val="00030055"/>
    <w:rsid w:val="000317EC"/>
    <w:rsid w:val="0003228C"/>
    <w:rsid w:val="0003238D"/>
    <w:rsid w:val="00032C22"/>
    <w:rsid w:val="00036F36"/>
    <w:rsid w:val="00037954"/>
    <w:rsid w:val="00040490"/>
    <w:rsid w:val="0004089D"/>
    <w:rsid w:val="00043216"/>
    <w:rsid w:val="0004397E"/>
    <w:rsid w:val="00044AF9"/>
    <w:rsid w:val="000461C8"/>
    <w:rsid w:val="000476BB"/>
    <w:rsid w:val="00050886"/>
    <w:rsid w:val="00052F24"/>
    <w:rsid w:val="00053630"/>
    <w:rsid w:val="000537A5"/>
    <w:rsid w:val="000537C6"/>
    <w:rsid w:val="00053A16"/>
    <w:rsid w:val="00053DFF"/>
    <w:rsid w:val="00061336"/>
    <w:rsid w:val="00061521"/>
    <w:rsid w:val="0006235F"/>
    <w:rsid w:val="00062F75"/>
    <w:rsid w:val="00065DFB"/>
    <w:rsid w:val="00065E10"/>
    <w:rsid w:val="0006660A"/>
    <w:rsid w:val="00066833"/>
    <w:rsid w:val="0006781D"/>
    <w:rsid w:val="00071354"/>
    <w:rsid w:val="00072A6E"/>
    <w:rsid w:val="000742DA"/>
    <w:rsid w:val="000767FB"/>
    <w:rsid w:val="00077927"/>
    <w:rsid w:val="00080517"/>
    <w:rsid w:val="000819FC"/>
    <w:rsid w:val="00083606"/>
    <w:rsid w:val="0008409E"/>
    <w:rsid w:val="00087D15"/>
    <w:rsid w:val="00091BE4"/>
    <w:rsid w:val="0009204B"/>
    <w:rsid w:val="00093319"/>
    <w:rsid w:val="00094241"/>
    <w:rsid w:val="00094E8A"/>
    <w:rsid w:val="000970F2"/>
    <w:rsid w:val="000B0C1F"/>
    <w:rsid w:val="000B0F42"/>
    <w:rsid w:val="000B170C"/>
    <w:rsid w:val="000B22EF"/>
    <w:rsid w:val="000C0A82"/>
    <w:rsid w:val="000C2291"/>
    <w:rsid w:val="000C2588"/>
    <w:rsid w:val="000C296B"/>
    <w:rsid w:val="000C2F50"/>
    <w:rsid w:val="000C3E45"/>
    <w:rsid w:val="000C4555"/>
    <w:rsid w:val="000C78A0"/>
    <w:rsid w:val="000D13B0"/>
    <w:rsid w:val="000D1AE6"/>
    <w:rsid w:val="000D42F6"/>
    <w:rsid w:val="000D601E"/>
    <w:rsid w:val="000D6B9C"/>
    <w:rsid w:val="000E0F88"/>
    <w:rsid w:val="000E18B6"/>
    <w:rsid w:val="000E2F39"/>
    <w:rsid w:val="000E33DD"/>
    <w:rsid w:val="000E38AD"/>
    <w:rsid w:val="000E5173"/>
    <w:rsid w:val="000E6675"/>
    <w:rsid w:val="000F52A0"/>
    <w:rsid w:val="000F5716"/>
    <w:rsid w:val="0010283F"/>
    <w:rsid w:val="00103A0A"/>
    <w:rsid w:val="00104F48"/>
    <w:rsid w:val="001059B3"/>
    <w:rsid w:val="001076A8"/>
    <w:rsid w:val="00107A58"/>
    <w:rsid w:val="00107F53"/>
    <w:rsid w:val="001120DA"/>
    <w:rsid w:val="001134C5"/>
    <w:rsid w:val="00116902"/>
    <w:rsid w:val="00116AB0"/>
    <w:rsid w:val="00117D52"/>
    <w:rsid w:val="00124CAA"/>
    <w:rsid w:val="00125426"/>
    <w:rsid w:val="001268BF"/>
    <w:rsid w:val="00132543"/>
    <w:rsid w:val="00135CE7"/>
    <w:rsid w:val="00136D81"/>
    <w:rsid w:val="001408F5"/>
    <w:rsid w:val="00141717"/>
    <w:rsid w:val="00141B86"/>
    <w:rsid w:val="00144855"/>
    <w:rsid w:val="00145420"/>
    <w:rsid w:val="00152150"/>
    <w:rsid w:val="00152E7A"/>
    <w:rsid w:val="0015332E"/>
    <w:rsid w:val="00155BDB"/>
    <w:rsid w:val="0015603D"/>
    <w:rsid w:val="0015665B"/>
    <w:rsid w:val="0015674D"/>
    <w:rsid w:val="00156E58"/>
    <w:rsid w:val="001600EC"/>
    <w:rsid w:val="00161271"/>
    <w:rsid w:val="00163279"/>
    <w:rsid w:val="0016754B"/>
    <w:rsid w:val="0017002D"/>
    <w:rsid w:val="00171208"/>
    <w:rsid w:val="00173308"/>
    <w:rsid w:val="0017402F"/>
    <w:rsid w:val="0017539B"/>
    <w:rsid w:val="0018231E"/>
    <w:rsid w:val="0018307C"/>
    <w:rsid w:val="0018439F"/>
    <w:rsid w:val="00185293"/>
    <w:rsid w:val="00185720"/>
    <w:rsid w:val="00185C77"/>
    <w:rsid w:val="0018675F"/>
    <w:rsid w:val="001931C6"/>
    <w:rsid w:val="00193E40"/>
    <w:rsid w:val="001957FB"/>
    <w:rsid w:val="00196FA1"/>
    <w:rsid w:val="00197991"/>
    <w:rsid w:val="001A34E0"/>
    <w:rsid w:val="001A3721"/>
    <w:rsid w:val="001B0E2B"/>
    <w:rsid w:val="001B2639"/>
    <w:rsid w:val="001B28D8"/>
    <w:rsid w:val="001B3827"/>
    <w:rsid w:val="001B6C23"/>
    <w:rsid w:val="001C0E25"/>
    <w:rsid w:val="001C144D"/>
    <w:rsid w:val="001C5F23"/>
    <w:rsid w:val="001C6925"/>
    <w:rsid w:val="001D10C1"/>
    <w:rsid w:val="001D20FE"/>
    <w:rsid w:val="001D2FCB"/>
    <w:rsid w:val="001D31BF"/>
    <w:rsid w:val="001D3DAE"/>
    <w:rsid w:val="001D5E17"/>
    <w:rsid w:val="001D6CB8"/>
    <w:rsid w:val="001D72E9"/>
    <w:rsid w:val="001D7704"/>
    <w:rsid w:val="001D7CC4"/>
    <w:rsid w:val="001E1FD3"/>
    <w:rsid w:val="001E3D9D"/>
    <w:rsid w:val="001E4647"/>
    <w:rsid w:val="001E67E4"/>
    <w:rsid w:val="001E71E9"/>
    <w:rsid w:val="001F1666"/>
    <w:rsid w:val="001F2B6E"/>
    <w:rsid w:val="001F303B"/>
    <w:rsid w:val="001F3CF3"/>
    <w:rsid w:val="001F437B"/>
    <w:rsid w:val="001F7DBB"/>
    <w:rsid w:val="00201A5D"/>
    <w:rsid w:val="002022DF"/>
    <w:rsid w:val="00202906"/>
    <w:rsid w:val="00203B50"/>
    <w:rsid w:val="00206D04"/>
    <w:rsid w:val="0021015F"/>
    <w:rsid w:val="00210838"/>
    <w:rsid w:val="00210D7C"/>
    <w:rsid w:val="00211879"/>
    <w:rsid w:val="002125CC"/>
    <w:rsid w:val="00212E64"/>
    <w:rsid w:val="00215AF7"/>
    <w:rsid w:val="00216613"/>
    <w:rsid w:val="00216D55"/>
    <w:rsid w:val="00217E08"/>
    <w:rsid w:val="0022247C"/>
    <w:rsid w:val="002228C7"/>
    <w:rsid w:val="00224C30"/>
    <w:rsid w:val="00226049"/>
    <w:rsid w:val="00226C6A"/>
    <w:rsid w:val="00232590"/>
    <w:rsid w:val="002325EA"/>
    <w:rsid w:val="00234946"/>
    <w:rsid w:val="00235155"/>
    <w:rsid w:val="00235B77"/>
    <w:rsid w:val="002370F2"/>
    <w:rsid w:val="002379C5"/>
    <w:rsid w:val="002402F3"/>
    <w:rsid w:val="0024110C"/>
    <w:rsid w:val="00241175"/>
    <w:rsid w:val="00242892"/>
    <w:rsid w:val="00243DC7"/>
    <w:rsid w:val="002557F6"/>
    <w:rsid w:val="002611B8"/>
    <w:rsid w:val="00261C1B"/>
    <w:rsid w:val="0026230E"/>
    <w:rsid w:val="00262888"/>
    <w:rsid w:val="00264DE2"/>
    <w:rsid w:val="00265A1A"/>
    <w:rsid w:val="002672DB"/>
    <w:rsid w:val="00267C17"/>
    <w:rsid w:val="00267EB5"/>
    <w:rsid w:val="00280AE7"/>
    <w:rsid w:val="0028139F"/>
    <w:rsid w:val="00281B45"/>
    <w:rsid w:val="002833D1"/>
    <w:rsid w:val="0028352A"/>
    <w:rsid w:val="00284A71"/>
    <w:rsid w:val="00292763"/>
    <w:rsid w:val="00294619"/>
    <w:rsid w:val="00294C59"/>
    <w:rsid w:val="00296469"/>
    <w:rsid w:val="00297715"/>
    <w:rsid w:val="00297D55"/>
    <w:rsid w:val="002A0742"/>
    <w:rsid w:val="002A2456"/>
    <w:rsid w:val="002B793B"/>
    <w:rsid w:val="002B7FB5"/>
    <w:rsid w:val="002C1059"/>
    <w:rsid w:val="002C2C5E"/>
    <w:rsid w:val="002C5052"/>
    <w:rsid w:val="002C5096"/>
    <w:rsid w:val="002C5843"/>
    <w:rsid w:val="002C7549"/>
    <w:rsid w:val="002C7903"/>
    <w:rsid w:val="002D1231"/>
    <w:rsid w:val="002D220D"/>
    <w:rsid w:val="002D6267"/>
    <w:rsid w:val="002D7F03"/>
    <w:rsid w:val="002E2587"/>
    <w:rsid w:val="002E32BB"/>
    <w:rsid w:val="002E3AD7"/>
    <w:rsid w:val="002E54C1"/>
    <w:rsid w:val="002E6AC3"/>
    <w:rsid w:val="002E7BD5"/>
    <w:rsid w:val="002E7BE2"/>
    <w:rsid w:val="002F25C7"/>
    <w:rsid w:val="002F4F13"/>
    <w:rsid w:val="00300A11"/>
    <w:rsid w:val="00300A62"/>
    <w:rsid w:val="003020DD"/>
    <w:rsid w:val="0030218D"/>
    <w:rsid w:val="003032AE"/>
    <w:rsid w:val="003063CA"/>
    <w:rsid w:val="003071C5"/>
    <w:rsid w:val="00312C54"/>
    <w:rsid w:val="00314275"/>
    <w:rsid w:val="0031501C"/>
    <w:rsid w:val="00315B02"/>
    <w:rsid w:val="00315CA7"/>
    <w:rsid w:val="00315FDA"/>
    <w:rsid w:val="00316ED1"/>
    <w:rsid w:val="003172F6"/>
    <w:rsid w:val="00320286"/>
    <w:rsid w:val="00325C1F"/>
    <w:rsid w:val="00332411"/>
    <w:rsid w:val="0033275F"/>
    <w:rsid w:val="00333238"/>
    <w:rsid w:val="00333FFA"/>
    <w:rsid w:val="0033547E"/>
    <w:rsid w:val="0033608E"/>
    <w:rsid w:val="0033634E"/>
    <w:rsid w:val="0033642B"/>
    <w:rsid w:val="003365DE"/>
    <w:rsid w:val="003370BA"/>
    <w:rsid w:val="00342D72"/>
    <w:rsid w:val="00344A0C"/>
    <w:rsid w:val="00346CD0"/>
    <w:rsid w:val="00351158"/>
    <w:rsid w:val="00351791"/>
    <w:rsid w:val="00351FF8"/>
    <w:rsid w:val="0035320E"/>
    <w:rsid w:val="00354342"/>
    <w:rsid w:val="00354BFD"/>
    <w:rsid w:val="003563B7"/>
    <w:rsid w:val="003609EE"/>
    <w:rsid w:val="003633DB"/>
    <w:rsid w:val="00364703"/>
    <w:rsid w:val="00365B66"/>
    <w:rsid w:val="00365DAF"/>
    <w:rsid w:val="0036716A"/>
    <w:rsid w:val="00370620"/>
    <w:rsid w:val="00371581"/>
    <w:rsid w:val="0037366F"/>
    <w:rsid w:val="00373709"/>
    <w:rsid w:val="0037458D"/>
    <w:rsid w:val="003765FC"/>
    <w:rsid w:val="00384CF4"/>
    <w:rsid w:val="0038665C"/>
    <w:rsid w:val="0038785D"/>
    <w:rsid w:val="00390757"/>
    <w:rsid w:val="00391C8B"/>
    <w:rsid w:val="00391F0F"/>
    <w:rsid w:val="003936FE"/>
    <w:rsid w:val="00393ECA"/>
    <w:rsid w:val="00397C94"/>
    <w:rsid w:val="003A1BAF"/>
    <w:rsid w:val="003A2E0B"/>
    <w:rsid w:val="003A2E6D"/>
    <w:rsid w:val="003A3158"/>
    <w:rsid w:val="003A778B"/>
    <w:rsid w:val="003B0F11"/>
    <w:rsid w:val="003B7815"/>
    <w:rsid w:val="003C20FA"/>
    <w:rsid w:val="003C2237"/>
    <w:rsid w:val="003C37BB"/>
    <w:rsid w:val="003C516F"/>
    <w:rsid w:val="003C53BD"/>
    <w:rsid w:val="003C5987"/>
    <w:rsid w:val="003C5D04"/>
    <w:rsid w:val="003C6448"/>
    <w:rsid w:val="003D119A"/>
    <w:rsid w:val="003D2B5E"/>
    <w:rsid w:val="003D597C"/>
    <w:rsid w:val="003E048E"/>
    <w:rsid w:val="003E0C78"/>
    <w:rsid w:val="003E4C63"/>
    <w:rsid w:val="003E66B1"/>
    <w:rsid w:val="003E76BA"/>
    <w:rsid w:val="003F1119"/>
    <w:rsid w:val="003F311A"/>
    <w:rsid w:val="003F4097"/>
    <w:rsid w:val="003F544C"/>
    <w:rsid w:val="003F56C4"/>
    <w:rsid w:val="003F67A0"/>
    <w:rsid w:val="00403265"/>
    <w:rsid w:val="0040343E"/>
    <w:rsid w:val="004049F3"/>
    <w:rsid w:val="00407520"/>
    <w:rsid w:val="004101AD"/>
    <w:rsid w:val="00411233"/>
    <w:rsid w:val="00412315"/>
    <w:rsid w:val="004125B6"/>
    <w:rsid w:val="00413E01"/>
    <w:rsid w:val="00414BCC"/>
    <w:rsid w:val="00416276"/>
    <w:rsid w:val="0041658B"/>
    <w:rsid w:val="00416E00"/>
    <w:rsid w:val="004170AE"/>
    <w:rsid w:val="00417140"/>
    <w:rsid w:val="00417E84"/>
    <w:rsid w:val="00420892"/>
    <w:rsid w:val="0042136D"/>
    <w:rsid w:val="00422706"/>
    <w:rsid w:val="004233D9"/>
    <w:rsid w:val="00423CB1"/>
    <w:rsid w:val="00426080"/>
    <w:rsid w:val="00430B92"/>
    <w:rsid w:val="0043115C"/>
    <w:rsid w:val="00432873"/>
    <w:rsid w:val="00441FF9"/>
    <w:rsid w:val="00443985"/>
    <w:rsid w:val="00445DAF"/>
    <w:rsid w:val="00446821"/>
    <w:rsid w:val="0044698D"/>
    <w:rsid w:val="00447C35"/>
    <w:rsid w:val="004502B3"/>
    <w:rsid w:val="004506CE"/>
    <w:rsid w:val="004511D7"/>
    <w:rsid w:val="00453900"/>
    <w:rsid w:val="00460248"/>
    <w:rsid w:val="00462843"/>
    <w:rsid w:val="004736E1"/>
    <w:rsid w:val="0047416D"/>
    <w:rsid w:val="00476151"/>
    <w:rsid w:val="00482FEA"/>
    <w:rsid w:val="00485EBC"/>
    <w:rsid w:val="00487775"/>
    <w:rsid w:val="004904FE"/>
    <w:rsid w:val="00496DA0"/>
    <w:rsid w:val="00497909"/>
    <w:rsid w:val="004B2156"/>
    <w:rsid w:val="004B242A"/>
    <w:rsid w:val="004B2943"/>
    <w:rsid w:val="004B451E"/>
    <w:rsid w:val="004B4C5C"/>
    <w:rsid w:val="004B5065"/>
    <w:rsid w:val="004B74C5"/>
    <w:rsid w:val="004B7E9D"/>
    <w:rsid w:val="004C0E5E"/>
    <w:rsid w:val="004C514E"/>
    <w:rsid w:val="004C57CF"/>
    <w:rsid w:val="004C58A4"/>
    <w:rsid w:val="004C5C41"/>
    <w:rsid w:val="004C755A"/>
    <w:rsid w:val="004D2FAF"/>
    <w:rsid w:val="004D54B8"/>
    <w:rsid w:val="004D5520"/>
    <w:rsid w:val="004D5DBA"/>
    <w:rsid w:val="004D70BC"/>
    <w:rsid w:val="004E0826"/>
    <w:rsid w:val="004E13C3"/>
    <w:rsid w:val="004E1613"/>
    <w:rsid w:val="004E29B3"/>
    <w:rsid w:val="004E419E"/>
    <w:rsid w:val="004E50E1"/>
    <w:rsid w:val="004E5E21"/>
    <w:rsid w:val="004F1299"/>
    <w:rsid w:val="004F2124"/>
    <w:rsid w:val="004F5801"/>
    <w:rsid w:val="004F69FB"/>
    <w:rsid w:val="00503808"/>
    <w:rsid w:val="00503A85"/>
    <w:rsid w:val="00505425"/>
    <w:rsid w:val="0051190A"/>
    <w:rsid w:val="00511DD3"/>
    <w:rsid w:val="005120C1"/>
    <w:rsid w:val="00513202"/>
    <w:rsid w:val="005141DA"/>
    <w:rsid w:val="005158AF"/>
    <w:rsid w:val="0052137A"/>
    <w:rsid w:val="00523236"/>
    <w:rsid w:val="005303D6"/>
    <w:rsid w:val="00532522"/>
    <w:rsid w:val="0053415F"/>
    <w:rsid w:val="00535235"/>
    <w:rsid w:val="005356B9"/>
    <w:rsid w:val="00541C51"/>
    <w:rsid w:val="005433B5"/>
    <w:rsid w:val="00543984"/>
    <w:rsid w:val="00544109"/>
    <w:rsid w:val="005441AE"/>
    <w:rsid w:val="00544873"/>
    <w:rsid w:val="005457A7"/>
    <w:rsid w:val="00551265"/>
    <w:rsid w:val="00554480"/>
    <w:rsid w:val="005607F1"/>
    <w:rsid w:val="00561320"/>
    <w:rsid w:val="00561894"/>
    <w:rsid w:val="00562645"/>
    <w:rsid w:val="00563A9F"/>
    <w:rsid w:val="00563F56"/>
    <w:rsid w:val="0056464C"/>
    <w:rsid w:val="00565198"/>
    <w:rsid w:val="005665E8"/>
    <w:rsid w:val="00566668"/>
    <w:rsid w:val="0056705C"/>
    <w:rsid w:val="0057156B"/>
    <w:rsid w:val="00576C73"/>
    <w:rsid w:val="00581E14"/>
    <w:rsid w:val="00582C73"/>
    <w:rsid w:val="005837EA"/>
    <w:rsid w:val="005901A0"/>
    <w:rsid w:val="00590D07"/>
    <w:rsid w:val="00591D48"/>
    <w:rsid w:val="00592A74"/>
    <w:rsid w:val="0059314E"/>
    <w:rsid w:val="005944CF"/>
    <w:rsid w:val="0059601A"/>
    <w:rsid w:val="00597C0D"/>
    <w:rsid w:val="005A3DD9"/>
    <w:rsid w:val="005A42C3"/>
    <w:rsid w:val="005A5421"/>
    <w:rsid w:val="005A69A7"/>
    <w:rsid w:val="005B1259"/>
    <w:rsid w:val="005B1A54"/>
    <w:rsid w:val="005B347B"/>
    <w:rsid w:val="005B607B"/>
    <w:rsid w:val="005C183F"/>
    <w:rsid w:val="005C2754"/>
    <w:rsid w:val="005C3726"/>
    <w:rsid w:val="005C4119"/>
    <w:rsid w:val="005C4F30"/>
    <w:rsid w:val="005C50FA"/>
    <w:rsid w:val="005C6814"/>
    <w:rsid w:val="005D0FC9"/>
    <w:rsid w:val="005D1F61"/>
    <w:rsid w:val="005D3060"/>
    <w:rsid w:val="005D53A3"/>
    <w:rsid w:val="005D797B"/>
    <w:rsid w:val="005E07B3"/>
    <w:rsid w:val="005E1EAC"/>
    <w:rsid w:val="005E211F"/>
    <w:rsid w:val="005E41C9"/>
    <w:rsid w:val="005E43F8"/>
    <w:rsid w:val="005E6D6C"/>
    <w:rsid w:val="005E6F2A"/>
    <w:rsid w:val="005F4466"/>
    <w:rsid w:val="005F6B95"/>
    <w:rsid w:val="006008CE"/>
    <w:rsid w:val="00601B4C"/>
    <w:rsid w:val="00602682"/>
    <w:rsid w:val="00603570"/>
    <w:rsid w:val="0060388F"/>
    <w:rsid w:val="0060512A"/>
    <w:rsid w:val="00606900"/>
    <w:rsid w:val="006102E7"/>
    <w:rsid w:val="00611B1F"/>
    <w:rsid w:val="00612F14"/>
    <w:rsid w:val="006145C9"/>
    <w:rsid w:val="006149F2"/>
    <w:rsid w:val="006167F0"/>
    <w:rsid w:val="00616887"/>
    <w:rsid w:val="00617064"/>
    <w:rsid w:val="006208E0"/>
    <w:rsid w:val="00622B17"/>
    <w:rsid w:val="00622B69"/>
    <w:rsid w:val="006234A7"/>
    <w:rsid w:val="00623612"/>
    <w:rsid w:val="006238BF"/>
    <w:rsid w:val="0062532A"/>
    <w:rsid w:val="00625DB4"/>
    <w:rsid w:val="006271DD"/>
    <w:rsid w:val="00627582"/>
    <w:rsid w:val="00632EB8"/>
    <w:rsid w:val="00633137"/>
    <w:rsid w:val="00633C4C"/>
    <w:rsid w:val="00635B9B"/>
    <w:rsid w:val="006403FC"/>
    <w:rsid w:val="00640FF1"/>
    <w:rsid w:val="00644561"/>
    <w:rsid w:val="006456FD"/>
    <w:rsid w:val="00645F4B"/>
    <w:rsid w:val="00646412"/>
    <w:rsid w:val="006468D4"/>
    <w:rsid w:val="00652B0E"/>
    <w:rsid w:val="00653A5A"/>
    <w:rsid w:val="00654330"/>
    <w:rsid w:val="0065450A"/>
    <w:rsid w:val="006549AD"/>
    <w:rsid w:val="00655825"/>
    <w:rsid w:val="00655C63"/>
    <w:rsid w:val="00655E7D"/>
    <w:rsid w:val="0066143B"/>
    <w:rsid w:val="00662D7C"/>
    <w:rsid w:val="0066471C"/>
    <w:rsid w:val="00664B4B"/>
    <w:rsid w:val="0066532C"/>
    <w:rsid w:val="00670B9A"/>
    <w:rsid w:val="00671919"/>
    <w:rsid w:val="006734A2"/>
    <w:rsid w:val="0067416B"/>
    <w:rsid w:val="00675F1D"/>
    <w:rsid w:val="0067669D"/>
    <w:rsid w:val="00676F45"/>
    <w:rsid w:val="006772D7"/>
    <w:rsid w:val="006777AE"/>
    <w:rsid w:val="0068264F"/>
    <w:rsid w:val="006838BB"/>
    <w:rsid w:val="00685EE6"/>
    <w:rsid w:val="00686650"/>
    <w:rsid w:val="006912C0"/>
    <w:rsid w:val="0069183D"/>
    <w:rsid w:val="00692232"/>
    <w:rsid w:val="0069253F"/>
    <w:rsid w:val="0069312E"/>
    <w:rsid w:val="0069652A"/>
    <w:rsid w:val="00696C93"/>
    <w:rsid w:val="006A3113"/>
    <w:rsid w:val="006A36AD"/>
    <w:rsid w:val="006A506A"/>
    <w:rsid w:val="006A53FB"/>
    <w:rsid w:val="006A6F72"/>
    <w:rsid w:val="006B11F4"/>
    <w:rsid w:val="006B1895"/>
    <w:rsid w:val="006B3881"/>
    <w:rsid w:val="006B53C9"/>
    <w:rsid w:val="006B53FB"/>
    <w:rsid w:val="006B7B9B"/>
    <w:rsid w:val="006C5D51"/>
    <w:rsid w:val="006D1EB7"/>
    <w:rsid w:val="006D2584"/>
    <w:rsid w:val="006D2CB9"/>
    <w:rsid w:val="006D3CE9"/>
    <w:rsid w:val="006D7BD4"/>
    <w:rsid w:val="006E1954"/>
    <w:rsid w:val="006E2D3D"/>
    <w:rsid w:val="006E2DFC"/>
    <w:rsid w:val="006E3035"/>
    <w:rsid w:val="006E31C6"/>
    <w:rsid w:val="006E4667"/>
    <w:rsid w:val="006E487A"/>
    <w:rsid w:val="006E5724"/>
    <w:rsid w:val="006E728E"/>
    <w:rsid w:val="006F197C"/>
    <w:rsid w:val="006F1C3F"/>
    <w:rsid w:val="006F1C65"/>
    <w:rsid w:val="006F4BA7"/>
    <w:rsid w:val="006F75A5"/>
    <w:rsid w:val="007039CD"/>
    <w:rsid w:val="00703EE5"/>
    <w:rsid w:val="0070752D"/>
    <w:rsid w:val="00712471"/>
    <w:rsid w:val="0071341E"/>
    <w:rsid w:val="007148EB"/>
    <w:rsid w:val="00716640"/>
    <w:rsid w:val="007172AE"/>
    <w:rsid w:val="00717A15"/>
    <w:rsid w:val="007203C1"/>
    <w:rsid w:val="007205AB"/>
    <w:rsid w:val="0072069B"/>
    <w:rsid w:val="00723F2A"/>
    <w:rsid w:val="0072440F"/>
    <w:rsid w:val="00725038"/>
    <w:rsid w:val="00732097"/>
    <w:rsid w:val="00733AE9"/>
    <w:rsid w:val="0073580D"/>
    <w:rsid w:val="00735F37"/>
    <w:rsid w:val="00736A45"/>
    <w:rsid w:val="00740131"/>
    <w:rsid w:val="00741A4F"/>
    <w:rsid w:val="00743701"/>
    <w:rsid w:val="00743BA0"/>
    <w:rsid w:val="00743F2B"/>
    <w:rsid w:val="00745EBA"/>
    <w:rsid w:val="007473FA"/>
    <w:rsid w:val="0075043D"/>
    <w:rsid w:val="00751745"/>
    <w:rsid w:val="00755CC9"/>
    <w:rsid w:val="00755D3F"/>
    <w:rsid w:val="00757FAD"/>
    <w:rsid w:val="00760153"/>
    <w:rsid w:val="007602F4"/>
    <w:rsid w:val="00760FD0"/>
    <w:rsid w:val="00765713"/>
    <w:rsid w:val="0076632B"/>
    <w:rsid w:val="007676C1"/>
    <w:rsid w:val="007717DC"/>
    <w:rsid w:val="00773A75"/>
    <w:rsid w:val="00774286"/>
    <w:rsid w:val="00775D13"/>
    <w:rsid w:val="00776409"/>
    <w:rsid w:val="00781A1C"/>
    <w:rsid w:val="00784D58"/>
    <w:rsid w:val="00791900"/>
    <w:rsid w:val="007939EF"/>
    <w:rsid w:val="00793C66"/>
    <w:rsid w:val="00796254"/>
    <w:rsid w:val="007A223D"/>
    <w:rsid w:val="007A38D8"/>
    <w:rsid w:val="007A64D6"/>
    <w:rsid w:val="007A7EDB"/>
    <w:rsid w:val="007B1264"/>
    <w:rsid w:val="007B16C8"/>
    <w:rsid w:val="007B22E5"/>
    <w:rsid w:val="007B3D4E"/>
    <w:rsid w:val="007B5B70"/>
    <w:rsid w:val="007C0288"/>
    <w:rsid w:val="007C24A8"/>
    <w:rsid w:val="007C357D"/>
    <w:rsid w:val="007C54E1"/>
    <w:rsid w:val="007C6728"/>
    <w:rsid w:val="007C7A00"/>
    <w:rsid w:val="007C7ED2"/>
    <w:rsid w:val="007D29B9"/>
    <w:rsid w:val="007D3002"/>
    <w:rsid w:val="007E197A"/>
    <w:rsid w:val="007E2796"/>
    <w:rsid w:val="007E6420"/>
    <w:rsid w:val="007F1F22"/>
    <w:rsid w:val="007F2995"/>
    <w:rsid w:val="007F2AAB"/>
    <w:rsid w:val="007F5607"/>
    <w:rsid w:val="007F5AEA"/>
    <w:rsid w:val="007F74EC"/>
    <w:rsid w:val="00800FC3"/>
    <w:rsid w:val="0080158D"/>
    <w:rsid w:val="00801FC3"/>
    <w:rsid w:val="00803C40"/>
    <w:rsid w:val="00805164"/>
    <w:rsid w:val="00806C15"/>
    <w:rsid w:val="00807C67"/>
    <w:rsid w:val="00811456"/>
    <w:rsid w:val="008123C3"/>
    <w:rsid w:val="008156BB"/>
    <w:rsid w:val="008160DD"/>
    <w:rsid w:val="008161B9"/>
    <w:rsid w:val="00816C46"/>
    <w:rsid w:val="008176EE"/>
    <w:rsid w:val="00817EEE"/>
    <w:rsid w:val="00821B37"/>
    <w:rsid w:val="00821BC0"/>
    <w:rsid w:val="00822513"/>
    <w:rsid w:val="00822E59"/>
    <w:rsid w:val="00822F66"/>
    <w:rsid w:val="00823037"/>
    <w:rsid w:val="008231CC"/>
    <w:rsid w:val="00824664"/>
    <w:rsid w:val="008279BC"/>
    <w:rsid w:val="00835E3F"/>
    <w:rsid w:val="00835EC7"/>
    <w:rsid w:val="00836E9D"/>
    <w:rsid w:val="008378F8"/>
    <w:rsid w:val="00840751"/>
    <w:rsid w:val="008408B1"/>
    <w:rsid w:val="00842035"/>
    <w:rsid w:val="0084209E"/>
    <w:rsid w:val="00844B6A"/>
    <w:rsid w:val="008452AB"/>
    <w:rsid w:val="00845E71"/>
    <w:rsid w:val="00845F69"/>
    <w:rsid w:val="008505EC"/>
    <w:rsid w:val="008514D5"/>
    <w:rsid w:val="00851B2C"/>
    <w:rsid w:val="008551D9"/>
    <w:rsid w:val="008553DD"/>
    <w:rsid w:val="008570E3"/>
    <w:rsid w:val="00857856"/>
    <w:rsid w:val="00857A33"/>
    <w:rsid w:val="0086092E"/>
    <w:rsid w:val="00860FBB"/>
    <w:rsid w:val="00862F50"/>
    <w:rsid w:val="008630FF"/>
    <w:rsid w:val="00863B95"/>
    <w:rsid w:val="00864637"/>
    <w:rsid w:val="00865829"/>
    <w:rsid w:val="0086792E"/>
    <w:rsid w:val="008740ED"/>
    <w:rsid w:val="008747C6"/>
    <w:rsid w:val="00880C3A"/>
    <w:rsid w:val="00883D49"/>
    <w:rsid w:val="008843AC"/>
    <w:rsid w:val="0088458E"/>
    <w:rsid w:val="008845A9"/>
    <w:rsid w:val="008855C7"/>
    <w:rsid w:val="00891E0E"/>
    <w:rsid w:val="00891E25"/>
    <w:rsid w:val="008931E7"/>
    <w:rsid w:val="00894E6A"/>
    <w:rsid w:val="0089548A"/>
    <w:rsid w:val="008966C9"/>
    <w:rsid w:val="0089693D"/>
    <w:rsid w:val="008973D7"/>
    <w:rsid w:val="008A08CB"/>
    <w:rsid w:val="008A3EE3"/>
    <w:rsid w:val="008A6870"/>
    <w:rsid w:val="008A709F"/>
    <w:rsid w:val="008B03BF"/>
    <w:rsid w:val="008B04D4"/>
    <w:rsid w:val="008C033A"/>
    <w:rsid w:val="008C19BE"/>
    <w:rsid w:val="008C5C07"/>
    <w:rsid w:val="008C5D84"/>
    <w:rsid w:val="008D1292"/>
    <w:rsid w:val="008D18B5"/>
    <w:rsid w:val="008D1901"/>
    <w:rsid w:val="008D19F3"/>
    <w:rsid w:val="008D45F8"/>
    <w:rsid w:val="008D4785"/>
    <w:rsid w:val="008D66CE"/>
    <w:rsid w:val="008D678C"/>
    <w:rsid w:val="008D6863"/>
    <w:rsid w:val="008E05D5"/>
    <w:rsid w:val="008E163A"/>
    <w:rsid w:val="008E1FEA"/>
    <w:rsid w:val="008E310E"/>
    <w:rsid w:val="008E3B11"/>
    <w:rsid w:val="008E46BF"/>
    <w:rsid w:val="008E47C4"/>
    <w:rsid w:val="008E4B66"/>
    <w:rsid w:val="008E68B5"/>
    <w:rsid w:val="008F0694"/>
    <w:rsid w:val="008F168F"/>
    <w:rsid w:val="008F2487"/>
    <w:rsid w:val="00900E1C"/>
    <w:rsid w:val="00901159"/>
    <w:rsid w:val="009013E0"/>
    <w:rsid w:val="009026DE"/>
    <w:rsid w:val="00905D40"/>
    <w:rsid w:val="00906782"/>
    <w:rsid w:val="00907507"/>
    <w:rsid w:val="00907AF7"/>
    <w:rsid w:val="00907C43"/>
    <w:rsid w:val="00907C66"/>
    <w:rsid w:val="00910225"/>
    <w:rsid w:val="0091328A"/>
    <w:rsid w:val="00913D4F"/>
    <w:rsid w:val="00916572"/>
    <w:rsid w:val="00917DC5"/>
    <w:rsid w:val="00922CA6"/>
    <w:rsid w:val="00922D41"/>
    <w:rsid w:val="00922FEF"/>
    <w:rsid w:val="00925515"/>
    <w:rsid w:val="00934843"/>
    <w:rsid w:val="00935A0C"/>
    <w:rsid w:val="009377A7"/>
    <w:rsid w:val="009423E8"/>
    <w:rsid w:val="0094651F"/>
    <w:rsid w:val="00950464"/>
    <w:rsid w:val="009510AB"/>
    <w:rsid w:val="0095214E"/>
    <w:rsid w:val="00952A67"/>
    <w:rsid w:val="00952C94"/>
    <w:rsid w:val="00953CBD"/>
    <w:rsid w:val="009544F0"/>
    <w:rsid w:val="0096109B"/>
    <w:rsid w:val="009651F1"/>
    <w:rsid w:val="0097293A"/>
    <w:rsid w:val="00973CBC"/>
    <w:rsid w:val="00973DF2"/>
    <w:rsid w:val="00973E69"/>
    <w:rsid w:val="00975003"/>
    <w:rsid w:val="009766E8"/>
    <w:rsid w:val="00980279"/>
    <w:rsid w:val="00981A57"/>
    <w:rsid w:val="0098258E"/>
    <w:rsid w:val="00982C05"/>
    <w:rsid w:val="009836F9"/>
    <w:rsid w:val="009840BC"/>
    <w:rsid w:val="00985718"/>
    <w:rsid w:val="00986FFE"/>
    <w:rsid w:val="00990AA8"/>
    <w:rsid w:val="00990B72"/>
    <w:rsid w:val="00991C8B"/>
    <w:rsid w:val="009928CB"/>
    <w:rsid w:val="00992AB6"/>
    <w:rsid w:val="009933BA"/>
    <w:rsid w:val="00994843"/>
    <w:rsid w:val="00996CD8"/>
    <w:rsid w:val="00997BFA"/>
    <w:rsid w:val="00997DFD"/>
    <w:rsid w:val="009A396F"/>
    <w:rsid w:val="009A3EFF"/>
    <w:rsid w:val="009A7027"/>
    <w:rsid w:val="009A7338"/>
    <w:rsid w:val="009A7C0C"/>
    <w:rsid w:val="009B0D44"/>
    <w:rsid w:val="009B113B"/>
    <w:rsid w:val="009B2596"/>
    <w:rsid w:val="009B2625"/>
    <w:rsid w:val="009B27C8"/>
    <w:rsid w:val="009B30A4"/>
    <w:rsid w:val="009B4F86"/>
    <w:rsid w:val="009B6BAA"/>
    <w:rsid w:val="009C08F9"/>
    <w:rsid w:val="009C0F6E"/>
    <w:rsid w:val="009C2BA7"/>
    <w:rsid w:val="009C4EEC"/>
    <w:rsid w:val="009C520E"/>
    <w:rsid w:val="009C7516"/>
    <w:rsid w:val="009D109E"/>
    <w:rsid w:val="009D3F60"/>
    <w:rsid w:val="009E1BAF"/>
    <w:rsid w:val="009E2BC7"/>
    <w:rsid w:val="009E2DA3"/>
    <w:rsid w:val="009E75D0"/>
    <w:rsid w:val="009F108B"/>
    <w:rsid w:val="009F2695"/>
    <w:rsid w:val="009F2DD6"/>
    <w:rsid w:val="009F3800"/>
    <w:rsid w:val="009F4269"/>
    <w:rsid w:val="009F7AAB"/>
    <w:rsid w:val="00A00DAD"/>
    <w:rsid w:val="00A01A6E"/>
    <w:rsid w:val="00A0433C"/>
    <w:rsid w:val="00A059A7"/>
    <w:rsid w:val="00A06E3D"/>
    <w:rsid w:val="00A07B03"/>
    <w:rsid w:val="00A12B93"/>
    <w:rsid w:val="00A13A8F"/>
    <w:rsid w:val="00A14EE4"/>
    <w:rsid w:val="00A15EE5"/>
    <w:rsid w:val="00A17AAF"/>
    <w:rsid w:val="00A20393"/>
    <w:rsid w:val="00A203E8"/>
    <w:rsid w:val="00A208FC"/>
    <w:rsid w:val="00A2130D"/>
    <w:rsid w:val="00A2365D"/>
    <w:rsid w:val="00A2616E"/>
    <w:rsid w:val="00A27D86"/>
    <w:rsid w:val="00A36A3C"/>
    <w:rsid w:val="00A42F03"/>
    <w:rsid w:val="00A44442"/>
    <w:rsid w:val="00A44882"/>
    <w:rsid w:val="00A45D23"/>
    <w:rsid w:val="00A46180"/>
    <w:rsid w:val="00A5142F"/>
    <w:rsid w:val="00A53481"/>
    <w:rsid w:val="00A60007"/>
    <w:rsid w:val="00A605F4"/>
    <w:rsid w:val="00A63008"/>
    <w:rsid w:val="00A64E1C"/>
    <w:rsid w:val="00A65747"/>
    <w:rsid w:val="00A67487"/>
    <w:rsid w:val="00A70232"/>
    <w:rsid w:val="00A711DA"/>
    <w:rsid w:val="00A72F3E"/>
    <w:rsid w:val="00A776B0"/>
    <w:rsid w:val="00A77BAC"/>
    <w:rsid w:val="00A8094E"/>
    <w:rsid w:val="00A865A5"/>
    <w:rsid w:val="00A8779A"/>
    <w:rsid w:val="00A92201"/>
    <w:rsid w:val="00A92C1D"/>
    <w:rsid w:val="00A95F31"/>
    <w:rsid w:val="00AA3DAF"/>
    <w:rsid w:val="00AB1818"/>
    <w:rsid w:val="00AB5191"/>
    <w:rsid w:val="00AB7BA6"/>
    <w:rsid w:val="00AC03CA"/>
    <w:rsid w:val="00AC2142"/>
    <w:rsid w:val="00AC3726"/>
    <w:rsid w:val="00AC6A85"/>
    <w:rsid w:val="00AD06A4"/>
    <w:rsid w:val="00AD0C9D"/>
    <w:rsid w:val="00AD24C6"/>
    <w:rsid w:val="00AD3CA4"/>
    <w:rsid w:val="00AD43A1"/>
    <w:rsid w:val="00AD7806"/>
    <w:rsid w:val="00AE0BEB"/>
    <w:rsid w:val="00AE0F0E"/>
    <w:rsid w:val="00AE2036"/>
    <w:rsid w:val="00AE4997"/>
    <w:rsid w:val="00AE5A90"/>
    <w:rsid w:val="00AF1067"/>
    <w:rsid w:val="00AF1CCE"/>
    <w:rsid w:val="00AF2856"/>
    <w:rsid w:val="00AF4431"/>
    <w:rsid w:val="00B0002B"/>
    <w:rsid w:val="00B0043C"/>
    <w:rsid w:val="00B02A3C"/>
    <w:rsid w:val="00B04917"/>
    <w:rsid w:val="00B075F5"/>
    <w:rsid w:val="00B07D9F"/>
    <w:rsid w:val="00B1051E"/>
    <w:rsid w:val="00B10FA1"/>
    <w:rsid w:val="00B2007D"/>
    <w:rsid w:val="00B23AE3"/>
    <w:rsid w:val="00B2548C"/>
    <w:rsid w:val="00B26E37"/>
    <w:rsid w:val="00B26FB0"/>
    <w:rsid w:val="00B27CCC"/>
    <w:rsid w:val="00B302A2"/>
    <w:rsid w:val="00B3353E"/>
    <w:rsid w:val="00B375F2"/>
    <w:rsid w:val="00B37FBD"/>
    <w:rsid w:val="00B40378"/>
    <w:rsid w:val="00B40830"/>
    <w:rsid w:val="00B41038"/>
    <w:rsid w:val="00B41701"/>
    <w:rsid w:val="00B42582"/>
    <w:rsid w:val="00B426B1"/>
    <w:rsid w:val="00B452BC"/>
    <w:rsid w:val="00B45376"/>
    <w:rsid w:val="00B464E4"/>
    <w:rsid w:val="00B47F3F"/>
    <w:rsid w:val="00B55D6B"/>
    <w:rsid w:val="00B60F46"/>
    <w:rsid w:val="00B60F8A"/>
    <w:rsid w:val="00B639E1"/>
    <w:rsid w:val="00B63AE2"/>
    <w:rsid w:val="00B70FBC"/>
    <w:rsid w:val="00B72D1B"/>
    <w:rsid w:val="00B77023"/>
    <w:rsid w:val="00B7726F"/>
    <w:rsid w:val="00B7783F"/>
    <w:rsid w:val="00B778A3"/>
    <w:rsid w:val="00B80CC3"/>
    <w:rsid w:val="00B81756"/>
    <w:rsid w:val="00B8477A"/>
    <w:rsid w:val="00B86A99"/>
    <w:rsid w:val="00B86B75"/>
    <w:rsid w:val="00B9010D"/>
    <w:rsid w:val="00B90D13"/>
    <w:rsid w:val="00B915F5"/>
    <w:rsid w:val="00B9202F"/>
    <w:rsid w:val="00B939A4"/>
    <w:rsid w:val="00B944CE"/>
    <w:rsid w:val="00B963EB"/>
    <w:rsid w:val="00BA03CC"/>
    <w:rsid w:val="00BA18A5"/>
    <w:rsid w:val="00BA24CB"/>
    <w:rsid w:val="00BA29AA"/>
    <w:rsid w:val="00BA370F"/>
    <w:rsid w:val="00BA48C4"/>
    <w:rsid w:val="00BA6A71"/>
    <w:rsid w:val="00BA7992"/>
    <w:rsid w:val="00BA79AC"/>
    <w:rsid w:val="00BA7ADD"/>
    <w:rsid w:val="00BB0851"/>
    <w:rsid w:val="00BB0B19"/>
    <w:rsid w:val="00BB11A1"/>
    <w:rsid w:val="00BB1647"/>
    <w:rsid w:val="00BB1BB2"/>
    <w:rsid w:val="00BB73AD"/>
    <w:rsid w:val="00BB7766"/>
    <w:rsid w:val="00BC29F2"/>
    <w:rsid w:val="00BC313D"/>
    <w:rsid w:val="00BC44B9"/>
    <w:rsid w:val="00BC48D5"/>
    <w:rsid w:val="00BC58C3"/>
    <w:rsid w:val="00BC7AD6"/>
    <w:rsid w:val="00BD1502"/>
    <w:rsid w:val="00BD1B4C"/>
    <w:rsid w:val="00BD22CA"/>
    <w:rsid w:val="00BD6896"/>
    <w:rsid w:val="00BD6B18"/>
    <w:rsid w:val="00BE02A8"/>
    <w:rsid w:val="00BE079F"/>
    <w:rsid w:val="00BE1894"/>
    <w:rsid w:val="00BE302F"/>
    <w:rsid w:val="00BF0225"/>
    <w:rsid w:val="00BF3A54"/>
    <w:rsid w:val="00BF7020"/>
    <w:rsid w:val="00BF772C"/>
    <w:rsid w:val="00C00886"/>
    <w:rsid w:val="00C03364"/>
    <w:rsid w:val="00C04578"/>
    <w:rsid w:val="00C051B3"/>
    <w:rsid w:val="00C05362"/>
    <w:rsid w:val="00C05947"/>
    <w:rsid w:val="00C121BB"/>
    <w:rsid w:val="00C131E7"/>
    <w:rsid w:val="00C15382"/>
    <w:rsid w:val="00C15566"/>
    <w:rsid w:val="00C15A95"/>
    <w:rsid w:val="00C16420"/>
    <w:rsid w:val="00C2139B"/>
    <w:rsid w:val="00C22FB2"/>
    <w:rsid w:val="00C24495"/>
    <w:rsid w:val="00C244FB"/>
    <w:rsid w:val="00C25F98"/>
    <w:rsid w:val="00C26523"/>
    <w:rsid w:val="00C26730"/>
    <w:rsid w:val="00C32579"/>
    <w:rsid w:val="00C34A1B"/>
    <w:rsid w:val="00C35F96"/>
    <w:rsid w:val="00C36279"/>
    <w:rsid w:val="00C36F4D"/>
    <w:rsid w:val="00C37755"/>
    <w:rsid w:val="00C421A0"/>
    <w:rsid w:val="00C438CD"/>
    <w:rsid w:val="00C43C8D"/>
    <w:rsid w:val="00C4434E"/>
    <w:rsid w:val="00C4518D"/>
    <w:rsid w:val="00C4560F"/>
    <w:rsid w:val="00C46284"/>
    <w:rsid w:val="00C46E80"/>
    <w:rsid w:val="00C507F5"/>
    <w:rsid w:val="00C527BD"/>
    <w:rsid w:val="00C61F28"/>
    <w:rsid w:val="00C63374"/>
    <w:rsid w:val="00C63425"/>
    <w:rsid w:val="00C638FB"/>
    <w:rsid w:val="00C64254"/>
    <w:rsid w:val="00C64846"/>
    <w:rsid w:val="00C6563A"/>
    <w:rsid w:val="00C67078"/>
    <w:rsid w:val="00C6763E"/>
    <w:rsid w:val="00C72DFC"/>
    <w:rsid w:val="00C73250"/>
    <w:rsid w:val="00C73B10"/>
    <w:rsid w:val="00C74CA0"/>
    <w:rsid w:val="00C75505"/>
    <w:rsid w:val="00C75F6F"/>
    <w:rsid w:val="00C815E4"/>
    <w:rsid w:val="00C83E22"/>
    <w:rsid w:val="00C90D78"/>
    <w:rsid w:val="00CA1DD3"/>
    <w:rsid w:val="00CA2CC3"/>
    <w:rsid w:val="00CA3975"/>
    <w:rsid w:val="00CA4674"/>
    <w:rsid w:val="00CA5C33"/>
    <w:rsid w:val="00CB2118"/>
    <w:rsid w:val="00CB4009"/>
    <w:rsid w:val="00CC1663"/>
    <w:rsid w:val="00CC6A13"/>
    <w:rsid w:val="00CC6AE2"/>
    <w:rsid w:val="00CD3FE2"/>
    <w:rsid w:val="00CE2083"/>
    <w:rsid w:val="00CE5709"/>
    <w:rsid w:val="00CE6B56"/>
    <w:rsid w:val="00CF0D90"/>
    <w:rsid w:val="00CF642C"/>
    <w:rsid w:val="00D02545"/>
    <w:rsid w:val="00D04EDF"/>
    <w:rsid w:val="00D068D8"/>
    <w:rsid w:val="00D07044"/>
    <w:rsid w:val="00D0771B"/>
    <w:rsid w:val="00D11127"/>
    <w:rsid w:val="00D117FB"/>
    <w:rsid w:val="00D13734"/>
    <w:rsid w:val="00D1379F"/>
    <w:rsid w:val="00D16AD4"/>
    <w:rsid w:val="00D2145C"/>
    <w:rsid w:val="00D248A4"/>
    <w:rsid w:val="00D24E03"/>
    <w:rsid w:val="00D24E84"/>
    <w:rsid w:val="00D27541"/>
    <w:rsid w:val="00D31157"/>
    <w:rsid w:val="00D32345"/>
    <w:rsid w:val="00D33379"/>
    <w:rsid w:val="00D34E20"/>
    <w:rsid w:val="00D4011B"/>
    <w:rsid w:val="00D41047"/>
    <w:rsid w:val="00D4224B"/>
    <w:rsid w:val="00D42599"/>
    <w:rsid w:val="00D44186"/>
    <w:rsid w:val="00D45ACF"/>
    <w:rsid w:val="00D45B99"/>
    <w:rsid w:val="00D47C85"/>
    <w:rsid w:val="00D50BD6"/>
    <w:rsid w:val="00D54440"/>
    <w:rsid w:val="00D5569E"/>
    <w:rsid w:val="00D55CF7"/>
    <w:rsid w:val="00D60A8D"/>
    <w:rsid w:val="00D62D9B"/>
    <w:rsid w:val="00D635D1"/>
    <w:rsid w:val="00D666A5"/>
    <w:rsid w:val="00D668EE"/>
    <w:rsid w:val="00D66950"/>
    <w:rsid w:val="00D71DB7"/>
    <w:rsid w:val="00D7421D"/>
    <w:rsid w:val="00D76980"/>
    <w:rsid w:val="00D81B66"/>
    <w:rsid w:val="00D82EEA"/>
    <w:rsid w:val="00D8399E"/>
    <w:rsid w:val="00D843A8"/>
    <w:rsid w:val="00D90BAB"/>
    <w:rsid w:val="00D90F0E"/>
    <w:rsid w:val="00D92B0E"/>
    <w:rsid w:val="00D935F1"/>
    <w:rsid w:val="00D97547"/>
    <w:rsid w:val="00DA181F"/>
    <w:rsid w:val="00DA1BD8"/>
    <w:rsid w:val="00DA369C"/>
    <w:rsid w:val="00DA38BE"/>
    <w:rsid w:val="00DA3D25"/>
    <w:rsid w:val="00DA3F11"/>
    <w:rsid w:val="00DA517E"/>
    <w:rsid w:val="00DA6DD6"/>
    <w:rsid w:val="00DB1374"/>
    <w:rsid w:val="00DB546F"/>
    <w:rsid w:val="00DB772D"/>
    <w:rsid w:val="00DC05A8"/>
    <w:rsid w:val="00DC0C81"/>
    <w:rsid w:val="00DC209F"/>
    <w:rsid w:val="00DC2F93"/>
    <w:rsid w:val="00DC6309"/>
    <w:rsid w:val="00DC7490"/>
    <w:rsid w:val="00DD688A"/>
    <w:rsid w:val="00DD757E"/>
    <w:rsid w:val="00DD7DA0"/>
    <w:rsid w:val="00DE054B"/>
    <w:rsid w:val="00DE05FA"/>
    <w:rsid w:val="00DE1978"/>
    <w:rsid w:val="00DE38CE"/>
    <w:rsid w:val="00DE3DF1"/>
    <w:rsid w:val="00DE6E0C"/>
    <w:rsid w:val="00DE7570"/>
    <w:rsid w:val="00DE7C09"/>
    <w:rsid w:val="00DF5D3D"/>
    <w:rsid w:val="00DF7960"/>
    <w:rsid w:val="00E012FF"/>
    <w:rsid w:val="00E01951"/>
    <w:rsid w:val="00E01E56"/>
    <w:rsid w:val="00E01F2F"/>
    <w:rsid w:val="00E0362A"/>
    <w:rsid w:val="00E04C4F"/>
    <w:rsid w:val="00E108C7"/>
    <w:rsid w:val="00E114AB"/>
    <w:rsid w:val="00E1285B"/>
    <w:rsid w:val="00E14B96"/>
    <w:rsid w:val="00E1570F"/>
    <w:rsid w:val="00E15E20"/>
    <w:rsid w:val="00E1603D"/>
    <w:rsid w:val="00E24E1B"/>
    <w:rsid w:val="00E24F42"/>
    <w:rsid w:val="00E259B2"/>
    <w:rsid w:val="00E270CF"/>
    <w:rsid w:val="00E27D79"/>
    <w:rsid w:val="00E313D1"/>
    <w:rsid w:val="00E315A3"/>
    <w:rsid w:val="00E346B4"/>
    <w:rsid w:val="00E34D64"/>
    <w:rsid w:val="00E40C67"/>
    <w:rsid w:val="00E421CC"/>
    <w:rsid w:val="00E4263D"/>
    <w:rsid w:val="00E44D1B"/>
    <w:rsid w:val="00E51673"/>
    <w:rsid w:val="00E51774"/>
    <w:rsid w:val="00E52ABC"/>
    <w:rsid w:val="00E5308D"/>
    <w:rsid w:val="00E53604"/>
    <w:rsid w:val="00E5591E"/>
    <w:rsid w:val="00E561AE"/>
    <w:rsid w:val="00E5776F"/>
    <w:rsid w:val="00E61CEE"/>
    <w:rsid w:val="00E62216"/>
    <w:rsid w:val="00E63E79"/>
    <w:rsid w:val="00E65A9D"/>
    <w:rsid w:val="00E66124"/>
    <w:rsid w:val="00E67E1C"/>
    <w:rsid w:val="00E71B70"/>
    <w:rsid w:val="00E72EE9"/>
    <w:rsid w:val="00E735BF"/>
    <w:rsid w:val="00E73619"/>
    <w:rsid w:val="00E74705"/>
    <w:rsid w:val="00E751DD"/>
    <w:rsid w:val="00E7625B"/>
    <w:rsid w:val="00E767E7"/>
    <w:rsid w:val="00E77CAA"/>
    <w:rsid w:val="00E80354"/>
    <w:rsid w:val="00E8192E"/>
    <w:rsid w:val="00E81E8D"/>
    <w:rsid w:val="00E8366D"/>
    <w:rsid w:val="00E84663"/>
    <w:rsid w:val="00E84DE7"/>
    <w:rsid w:val="00E87DC2"/>
    <w:rsid w:val="00E91C58"/>
    <w:rsid w:val="00E96307"/>
    <w:rsid w:val="00EA1F37"/>
    <w:rsid w:val="00EA2031"/>
    <w:rsid w:val="00EA2344"/>
    <w:rsid w:val="00EA6FEC"/>
    <w:rsid w:val="00EB44E2"/>
    <w:rsid w:val="00EB6E97"/>
    <w:rsid w:val="00EB7B74"/>
    <w:rsid w:val="00EC082F"/>
    <w:rsid w:val="00EC34EC"/>
    <w:rsid w:val="00EC4730"/>
    <w:rsid w:val="00EC4E73"/>
    <w:rsid w:val="00EC57BB"/>
    <w:rsid w:val="00EC6B11"/>
    <w:rsid w:val="00EC702E"/>
    <w:rsid w:val="00EC7239"/>
    <w:rsid w:val="00EC7C1B"/>
    <w:rsid w:val="00ED337F"/>
    <w:rsid w:val="00ED3BE7"/>
    <w:rsid w:val="00ED6F9F"/>
    <w:rsid w:val="00EE0A78"/>
    <w:rsid w:val="00EE0D27"/>
    <w:rsid w:val="00EE39C9"/>
    <w:rsid w:val="00EF0B3C"/>
    <w:rsid w:val="00EF0C15"/>
    <w:rsid w:val="00EF42F0"/>
    <w:rsid w:val="00EF7197"/>
    <w:rsid w:val="00F0195C"/>
    <w:rsid w:val="00F03AA4"/>
    <w:rsid w:val="00F04B96"/>
    <w:rsid w:val="00F04C97"/>
    <w:rsid w:val="00F05F6D"/>
    <w:rsid w:val="00F061BF"/>
    <w:rsid w:val="00F066BC"/>
    <w:rsid w:val="00F07ECA"/>
    <w:rsid w:val="00F1349E"/>
    <w:rsid w:val="00F144AC"/>
    <w:rsid w:val="00F14DBC"/>
    <w:rsid w:val="00F15979"/>
    <w:rsid w:val="00F15BC0"/>
    <w:rsid w:val="00F176B8"/>
    <w:rsid w:val="00F20D5A"/>
    <w:rsid w:val="00F223A9"/>
    <w:rsid w:val="00F22DC6"/>
    <w:rsid w:val="00F250B8"/>
    <w:rsid w:val="00F26C63"/>
    <w:rsid w:val="00F31FD5"/>
    <w:rsid w:val="00F35AFF"/>
    <w:rsid w:val="00F4485A"/>
    <w:rsid w:val="00F4521D"/>
    <w:rsid w:val="00F45856"/>
    <w:rsid w:val="00F46A71"/>
    <w:rsid w:val="00F52BE7"/>
    <w:rsid w:val="00F52E2C"/>
    <w:rsid w:val="00F530DB"/>
    <w:rsid w:val="00F54306"/>
    <w:rsid w:val="00F563D3"/>
    <w:rsid w:val="00F57AFC"/>
    <w:rsid w:val="00F6082B"/>
    <w:rsid w:val="00F61341"/>
    <w:rsid w:val="00F62DE7"/>
    <w:rsid w:val="00F63558"/>
    <w:rsid w:val="00F733AC"/>
    <w:rsid w:val="00F73685"/>
    <w:rsid w:val="00F77F61"/>
    <w:rsid w:val="00F80826"/>
    <w:rsid w:val="00F82A25"/>
    <w:rsid w:val="00F833A4"/>
    <w:rsid w:val="00F852ED"/>
    <w:rsid w:val="00F85EE9"/>
    <w:rsid w:val="00F87CB9"/>
    <w:rsid w:val="00F90B32"/>
    <w:rsid w:val="00F90F75"/>
    <w:rsid w:val="00F94591"/>
    <w:rsid w:val="00F9668D"/>
    <w:rsid w:val="00FA481B"/>
    <w:rsid w:val="00FA6C6B"/>
    <w:rsid w:val="00FB0455"/>
    <w:rsid w:val="00FB0A9B"/>
    <w:rsid w:val="00FB10D2"/>
    <w:rsid w:val="00FB21AE"/>
    <w:rsid w:val="00FB2DE9"/>
    <w:rsid w:val="00FB30BD"/>
    <w:rsid w:val="00FB5D04"/>
    <w:rsid w:val="00FC0E0F"/>
    <w:rsid w:val="00FC1198"/>
    <w:rsid w:val="00FC12A9"/>
    <w:rsid w:val="00FC1415"/>
    <w:rsid w:val="00FC3FAE"/>
    <w:rsid w:val="00FC46D5"/>
    <w:rsid w:val="00FC48BD"/>
    <w:rsid w:val="00FC51F3"/>
    <w:rsid w:val="00FC64CA"/>
    <w:rsid w:val="00FC7690"/>
    <w:rsid w:val="00FD37DB"/>
    <w:rsid w:val="00FD3EE3"/>
    <w:rsid w:val="00FD5059"/>
    <w:rsid w:val="00FD54FE"/>
    <w:rsid w:val="00FE0EDF"/>
    <w:rsid w:val="00FE13F2"/>
    <w:rsid w:val="00FE2E77"/>
    <w:rsid w:val="00FE2ECC"/>
    <w:rsid w:val="00FF32E5"/>
  </w:rsids>
  <m:mathPr>
    <m:mathFont m:val="Cambria Math"/>
    <m:brkBin m:val="before"/>
    <m:brkBinSub m:val="--"/>
    <m:smallFrac m:val="0"/>
    <m:dispDef m:val="0"/>
    <m:lMargin m:val="0"/>
    <m:rMargin m:val="0"/>
    <m:defJc m:val="centerGroup"/>
    <m:wrapRight/>
    <m:intLim m:val="subSup"/>
    <m:naryLim m:val="subSup"/>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8CFD2BB"/>
  <w15:docId w15:val="{D87B2674-4D2C-4B13-A1EB-3FEE67EE2F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Arial"/>
        <w:lang w:val="en-US" w:eastAsia="en-US" w:bidi="ar-SA"/>
      </w:rPr>
    </w:rPrDefault>
    <w:pPrDefault/>
  </w:docDefaults>
  <w:latentStyles w:defLockedState="0" w:defUIPriority="0" w:defSemiHidden="0" w:defUnhideWhenUsed="0" w:defQFormat="0" w:count="376">
    <w:lsdException w:name="heading 1" w:uiPriority="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27D86"/>
    <w:pPr>
      <w:spacing w:after="200"/>
    </w:pPr>
    <w:rPr>
      <w:sz w:val="24"/>
      <w:szCs w:val="24"/>
    </w:rPr>
  </w:style>
  <w:style w:type="paragraph" w:styleId="Heading1">
    <w:name w:val="heading 1"/>
    <w:basedOn w:val="Normal"/>
    <w:next w:val="BodyText"/>
    <w:link w:val="Heading1Char"/>
    <w:uiPriority w:val="9"/>
    <w:qFormat/>
    <w:rsid w:val="00824664"/>
    <w:pPr>
      <w:keepNext/>
      <w:keepLines/>
      <w:numPr>
        <w:numId w:val="17"/>
      </w:numPr>
      <w:spacing w:before="480" w:after="0"/>
      <w:outlineLvl w:val="0"/>
    </w:pPr>
    <w:rPr>
      <w:rFonts w:ascii="Calibri" w:eastAsia="Times New Roman" w:hAnsi="Calibri" w:cs="Times New Roman"/>
      <w:b/>
      <w:bCs/>
      <w:color w:val="000000"/>
      <w:sz w:val="32"/>
      <w:szCs w:val="32"/>
    </w:rPr>
  </w:style>
  <w:style w:type="paragraph" w:styleId="Heading2">
    <w:name w:val="heading 2"/>
    <w:basedOn w:val="Normal"/>
    <w:next w:val="BodyText"/>
    <w:link w:val="Heading2Char"/>
    <w:uiPriority w:val="9"/>
    <w:unhideWhenUsed/>
    <w:qFormat/>
    <w:rsid w:val="00824664"/>
    <w:pPr>
      <w:keepNext/>
      <w:keepLines/>
      <w:numPr>
        <w:ilvl w:val="1"/>
        <w:numId w:val="17"/>
      </w:numPr>
      <w:spacing w:before="200" w:after="0"/>
      <w:outlineLvl w:val="1"/>
    </w:pPr>
    <w:rPr>
      <w:rFonts w:ascii="Calibri" w:eastAsia="Times New Roman" w:hAnsi="Calibri" w:cs="Times New Roman"/>
      <w:b/>
      <w:bCs/>
      <w:color w:val="000000"/>
      <w:sz w:val="28"/>
      <w:szCs w:val="28"/>
    </w:rPr>
  </w:style>
  <w:style w:type="paragraph" w:styleId="Heading3">
    <w:name w:val="heading 3"/>
    <w:basedOn w:val="Normal"/>
    <w:next w:val="BodyText"/>
    <w:link w:val="Heading3Char"/>
    <w:uiPriority w:val="9"/>
    <w:unhideWhenUsed/>
    <w:qFormat/>
    <w:rsid w:val="00824664"/>
    <w:pPr>
      <w:keepNext/>
      <w:keepLines/>
      <w:numPr>
        <w:ilvl w:val="2"/>
        <w:numId w:val="17"/>
      </w:numPr>
      <w:spacing w:before="200" w:after="0"/>
      <w:outlineLvl w:val="2"/>
    </w:pPr>
    <w:rPr>
      <w:rFonts w:ascii="Calibri" w:eastAsia="Times New Roman" w:hAnsi="Calibri" w:cs="Times New Roman"/>
      <w:b/>
      <w:bCs/>
      <w:color w:val="000000"/>
    </w:rPr>
  </w:style>
  <w:style w:type="paragraph" w:styleId="Heading4">
    <w:name w:val="heading 4"/>
    <w:basedOn w:val="Normal"/>
    <w:next w:val="BodyText"/>
    <w:uiPriority w:val="9"/>
    <w:unhideWhenUsed/>
    <w:qFormat/>
    <w:pPr>
      <w:keepNext/>
      <w:keepLines/>
      <w:numPr>
        <w:ilvl w:val="3"/>
        <w:numId w:val="17"/>
      </w:numPr>
      <w:spacing w:before="200" w:after="0"/>
      <w:outlineLvl w:val="3"/>
    </w:pPr>
    <w:rPr>
      <w:rFonts w:ascii="Calibri" w:eastAsia="Times New Roman" w:hAnsi="Calibri" w:cs="Times New Roman"/>
      <w:bCs/>
      <w:i/>
      <w:color w:val="4F81BD"/>
    </w:rPr>
  </w:style>
  <w:style w:type="paragraph" w:styleId="Heading5">
    <w:name w:val="heading 5"/>
    <w:basedOn w:val="Normal"/>
    <w:next w:val="BodyText"/>
    <w:uiPriority w:val="9"/>
    <w:unhideWhenUsed/>
    <w:qFormat/>
    <w:pPr>
      <w:keepNext/>
      <w:keepLines/>
      <w:numPr>
        <w:ilvl w:val="4"/>
        <w:numId w:val="17"/>
      </w:numPr>
      <w:spacing w:before="200" w:after="0"/>
      <w:outlineLvl w:val="4"/>
    </w:pPr>
    <w:rPr>
      <w:rFonts w:ascii="Calibri" w:eastAsia="Times New Roman" w:hAnsi="Calibri" w:cs="Times New Roman"/>
      <w:iCs/>
      <w:color w:val="4F81BD"/>
    </w:rPr>
  </w:style>
  <w:style w:type="paragraph" w:styleId="Heading6">
    <w:name w:val="heading 6"/>
    <w:basedOn w:val="Normal"/>
    <w:next w:val="BodyText"/>
    <w:uiPriority w:val="9"/>
    <w:unhideWhenUsed/>
    <w:qFormat/>
    <w:pPr>
      <w:keepNext/>
      <w:keepLines/>
      <w:numPr>
        <w:ilvl w:val="5"/>
        <w:numId w:val="17"/>
      </w:numPr>
      <w:spacing w:before="200" w:after="0"/>
      <w:outlineLvl w:val="5"/>
    </w:pPr>
    <w:rPr>
      <w:rFonts w:ascii="Calibri" w:eastAsia="Times New Roman" w:hAnsi="Calibri" w:cs="Times New Roman"/>
      <w:color w:val="4F81BD"/>
    </w:rPr>
  </w:style>
  <w:style w:type="paragraph" w:styleId="Heading7">
    <w:name w:val="heading 7"/>
    <w:basedOn w:val="Normal"/>
    <w:next w:val="BodyText"/>
    <w:uiPriority w:val="9"/>
    <w:unhideWhenUsed/>
    <w:qFormat/>
    <w:pPr>
      <w:keepNext/>
      <w:keepLines/>
      <w:numPr>
        <w:ilvl w:val="6"/>
        <w:numId w:val="17"/>
      </w:numPr>
      <w:spacing w:before="200" w:after="0"/>
      <w:outlineLvl w:val="6"/>
    </w:pPr>
    <w:rPr>
      <w:rFonts w:ascii="Calibri" w:eastAsia="Times New Roman" w:hAnsi="Calibri" w:cs="Times New Roman"/>
      <w:color w:val="4F81BD"/>
    </w:rPr>
  </w:style>
  <w:style w:type="paragraph" w:styleId="Heading8">
    <w:name w:val="heading 8"/>
    <w:basedOn w:val="Normal"/>
    <w:next w:val="BodyText"/>
    <w:uiPriority w:val="9"/>
    <w:unhideWhenUsed/>
    <w:qFormat/>
    <w:pPr>
      <w:keepNext/>
      <w:keepLines/>
      <w:numPr>
        <w:ilvl w:val="7"/>
        <w:numId w:val="17"/>
      </w:numPr>
      <w:spacing w:before="200" w:after="0"/>
      <w:outlineLvl w:val="7"/>
    </w:pPr>
    <w:rPr>
      <w:rFonts w:ascii="Calibri" w:eastAsia="Times New Roman" w:hAnsi="Calibri" w:cs="Times New Roman"/>
      <w:color w:val="4F81BD"/>
    </w:rPr>
  </w:style>
  <w:style w:type="paragraph" w:styleId="Heading9">
    <w:name w:val="heading 9"/>
    <w:basedOn w:val="Normal"/>
    <w:next w:val="BodyText"/>
    <w:uiPriority w:val="9"/>
    <w:unhideWhenUsed/>
    <w:qFormat/>
    <w:pPr>
      <w:keepNext/>
      <w:keepLines/>
      <w:numPr>
        <w:ilvl w:val="8"/>
        <w:numId w:val="17"/>
      </w:numPr>
      <w:spacing w:before="200" w:after="0"/>
      <w:outlineLvl w:val="8"/>
    </w:pPr>
    <w:rPr>
      <w:rFonts w:ascii="Calibri" w:eastAsia="Times New Roman" w:hAnsi="Calibri" w:cs="Times New Roman"/>
      <w:color w:val="4F81BD"/>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Calibri" w:eastAsia="Times New Roman" w:hAnsi="Calibri" w:cs="Times New Roman"/>
      <w:b/>
      <w:bCs/>
      <w:color w:val="345A8A"/>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spacing w:after="200"/>
      <w:jc w:val="center"/>
    </w:pPr>
    <w:rPr>
      <w:sz w:val="24"/>
      <w:szCs w:val="24"/>
    </w:rPr>
  </w:style>
  <w:style w:type="paragraph" w:styleId="Date">
    <w:name w:val="Date"/>
    <w:next w:val="BodyText"/>
    <w:qFormat/>
    <w:pPr>
      <w:keepNext/>
      <w:keepLines/>
      <w:spacing w:after="200"/>
      <w:jc w:val="center"/>
    </w:pPr>
    <w:rPr>
      <w:sz w:val="24"/>
      <w:szCs w:val="24"/>
    </w:r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pPr>
      <w:tabs>
        <w:tab w:val="left" w:pos="384"/>
      </w:tabs>
      <w:spacing w:after="0"/>
      <w:ind w:left="384" w:hanging="384"/>
    </w:pPr>
  </w:style>
  <w:style w:type="paragraph" w:styleId="BlockText">
    <w:name w:val="Block Text"/>
    <w:basedOn w:val="BodyText"/>
    <w:next w:val="BodyText"/>
    <w:uiPriority w:val="9"/>
    <w:unhideWhenUsed/>
    <w:qFormat/>
    <w:pPr>
      <w:spacing w:before="100" w:after="100"/>
      <w:ind w:left="480" w:right="480"/>
    </w:pPr>
  </w:style>
  <w:style w:type="paragraph" w:styleId="FootnoteText">
    <w:name w:val="footnote text"/>
    <w:basedOn w:val="Normal"/>
    <w:uiPriority w:val="9"/>
    <w:unhideWhenUsed/>
    <w:qFormat/>
  </w:style>
  <w:style w:type="table" w:customStyle="1" w:styleId="Table">
    <w:name w:val="Table"/>
    <w:semiHidden/>
    <w:unhideWhenUsed/>
    <w:qFormat/>
    <w:pPr>
      <w:spacing w:after="200"/>
    </w:pPr>
    <w:rPr>
      <w:sz w:val="24"/>
      <w:szCs w:val="24"/>
    </w:rPr>
    <w:tblPr>
      <w:tblInd w:w="0" w:type="dxa"/>
      <w:tblCellMar>
        <w:top w:w="0" w:type="dxa"/>
        <w:left w:w="108" w:type="dxa"/>
        <w:bottom w:w="0" w:type="dxa"/>
        <w:right w:w="108" w:type="dxa"/>
      </w:tblCellMar>
    </w:tbl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uiPriority w:val="35"/>
    <w:qFormat/>
    <w:pPr>
      <w:spacing w:after="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CaptionedFigure">
    <w:name w:val="Captioned Figure"/>
    <w:basedOn w:val="Figure"/>
    <w:pPr>
      <w:keepNext/>
    </w:pPr>
  </w:style>
  <w:style w:type="character" w:customStyle="1" w:styleId="CaptionChar">
    <w:name w:val="Caption Char"/>
    <w:basedOn w:val="DefaultParagraphFont"/>
    <w:link w:val="Caption"/>
    <w:uiPriority w:val="35"/>
    <w:rPr>
      <w:i/>
      <w:sz w:val="24"/>
      <w:szCs w:val="24"/>
    </w:rPr>
  </w:style>
  <w:style w:type="character" w:customStyle="1" w:styleId="VerbatimChar">
    <w:name w:val="Verbatim Char"/>
    <w:link w:val="SourceCode"/>
    <w:rPr>
      <w:rFonts w:ascii="Consolas" w:hAnsi="Consolas"/>
      <w:sz w:val="22"/>
    </w:rPr>
  </w:style>
  <w:style w:type="character" w:styleId="FootnoteReference">
    <w:name w:val="footnote reference"/>
    <w:rPr>
      <w:vertAlign w:val="superscript"/>
    </w:rPr>
  </w:style>
  <w:style w:type="character" w:styleId="Hyperlink">
    <w:name w:val="Hyperlink"/>
    <w:rPr>
      <w:color w:val="4F81BD"/>
    </w:rPr>
  </w:style>
  <w:style w:type="paragraph" w:styleId="TOCHeading">
    <w:name w:val="TOC Heading"/>
    <w:basedOn w:val="Heading1"/>
    <w:next w:val="BodyText"/>
    <w:uiPriority w:val="39"/>
    <w:unhideWhenUsed/>
    <w:qFormat/>
    <w:pPr>
      <w:spacing w:before="240" w:line="259" w:lineRule="auto"/>
      <w:outlineLvl w:val="9"/>
    </w:pPr>
    <w:rPr>
      <w:b w:val="0"/>
      <w:bCs w:val="0"/>
      <w:color w:val="365F91"/>
    </w:rPr>
  </w:style>
  <w:style w:type="paragraph" w:customStyle="1" w:styleId="SourceCode">
    <w:name w:val="Source Code"/>
    <w:basedOn w:val="Normal"/>
    <w:link w:val="VerbatimChar"/>
    <w:pPr>
      <w:wordWrap w:val="0"/>
    </w:pPr>
  </w:style>
  <w:style w:type="character" w:customStyle="1" w:styleId="KeywordTok">
    <w:name w:val="KeywordTok"/>
    <w:rPr>
      <w:rFonts w:ascii="Consolas" w:hAnsi="Consolas"/>
      <w:b/>
      <w:color w:val="007020"/>
      <w:sz w:val="22"/>
    </w:rPr>
  </w:style>
  <w:style w:type="character" w:customStyle="1" w:styleId="DataTypeTok">
    <w:name w:val="DataTypeTok"/>
    <w:rPr>
      <w:rFonts w:ascii="Consolas" w:hAnsi="Consolas"/>
      <w:color w:val="902000"/>
      <w:sz w:val="22"/>
    </w:rPr>
  </w:style>
  <w:style w:type="character" w:customStyle="1" w:styleId="DecValTok">
    <w:name w:val="DecValTok"/>
    <w:rPr>
      <w:rFonts w:ascii="Consolas" w:hAnsi="Consolas"/>
      <w:color w:val="40A070"/>
      <w:sz w:val="22"/>
    </w:rPr>
  </w:style>
  <w:style w:type="character" w:customStyle="1" w:styleId="BaseNTok">
    <w:name w:val="BaseNTok"/>
    <w:rPr>
      <w:rFonts w:ascii="Consolas" w:hAnsi="Consolas"/>
      <w:color w:val="40A070"/>
      <w:sz w:val="22"/>
    </w:rPr>
  </w:style>
  <w:style w:type="character" w:customStyle="1" w:styleId="FloatTok">
    <w:name w:val="FloatTok"/>
    <w:rPr>
      <w:rFonts w:ascii="Consolas" w:hAnsi="Consolas"/>
      <w:color w:val="40A070"/>
      <w:sz w:val="22"/>
    </w:rPr>
  </w:style>
  <w:style w:type="character" w:customStyle="1" w:styleId="ConstantTok">
    <w:name w:val="ConstantTok"/>
    <w:rPr>
      <w:rFonts w:ascii="Consolas" w:hAnsi="Consolas"/>
      <w:color w:val="880000"/>
      <w:sz w:val="22"/>
    </w:rPr>
  </w:style>
  <w:style w:type="character" w:customStyle="1" w:styleId="CharTok">
    <w:name w:val="CharTok"/>
    <w:rPr>
      <w:rFonts w:ascii="Consolas" w:hAnsi="Consolas"/>
      <w:color w:val="4070A0"/>
      <w:sz w:val="22"/>
    </w:rPr>
  </w:style>
  <w:style w:type="character" w:customStyle="1" w:styleId="SpecialCharTok">
    <w:name w:val="SpecialCharTok"/>
    <w:rPr>
      <w:rFonts w:ascii="Consolas" w:hAnsi="Consolas"/>
      <w:color w:val="4070A0"/>
      <w:sz w:val="22"/>
    </w:rPr>
  </w:style>
  <w:style w:type="character" w:customStyle="1" w:styleId="StringTok">
    <w:name w:val="StringTok"/>
    <w:rPr>
      <w:rFonts w:ascii="Consolas" w:hAnsi="Consolas"/>
      <w:color w:val="4070A0"/>
      <w:sz w:val="22"/>
    </w:rPr>
  </w:style>
  <w:style w:type="character" w:customStyle="1" w:styleId="VerbatimStringTok">
    <w:name w:val="VerbatimStringTok"/>
    <w:rPr>
      <w:rFonts w:ascii="Consolas" w:hAnsi="Consolas"/>
      <w:color w:val="4070A0"/>
      <w:sz w:val="22"/>
    </w:rPr>
  </w:style>
  <w:style w:type="character" w:customStyle="1" w:styleId="SpecialStringTok">
    <w:name w:val="SpecialStringTok"/>
    <w:rPr>
      <w:rFonts w:ascii="Consolas" w:hAnsi="Consolas"/>
      <w:color w:val="BB6688"/>
      <w:sz w:val="22"/>
    </w:rPr>
  </w:style>
  <w:style w:type="character" w:customStyle="1" w:styleId="ImportTok">
    <w:name w:val="ImportTok"/>
    <w:rPr>
      <w:rFonts w:ascii="Consolas" w:hAnsi="Consolas"/>
      <w:sz w:val="22"/>
    </w:rPr>
  </w:style>
  <w:style w:type="character" w:customStyle="1" w:styleId="CommentTok">
    <w:name w:val="CommentTok"/>
    <w:rPr>
      <w:rFonts w:ascii="Consolas" w:hAnsi="Consolas"/>
      <w:i/>
      <w:color w:val="60A0B0"/>
      <w:sz w:val="22"/>
    </w:rPr>
  </w:style>
  <w:style w:type="character" w:customStyle="1" w:styleId="DocumentationTok">
    <w:name w:val="DocumentationTok"/>
    <w:rPr>
      <w:rFonts w:ascii="Consolas" w:hAnsi="Consolas"/>
      <w:i/>
      <w:color w:val="BA2121"/>
      <w:sz w:val="22"/>
    </w:rPr>
  </w:style>
  <w:style w:type="character" w:customStyle="1" w:styleId="AnnotationTok">
    <w:name w:val="AnnotationTok"/>
    <w:rPr>
      <w:rFonts w:ascii="Consolas" w:hAnsi="Consolas"/>
      <w:b/>
      <w:i/>
      <w:color w:val="60A0B0"/>
      <w:sz w:val="22"/>
    </w:rPr>
  </w:style>
  <w:style w:type="character" w:customStyle="1" w:styleId="CommentVarTok">
    <w:name w:val="CommentVarTok"/>
    <w:rPr>
      <w:rFonts w:ascii="Consolas" w:hAnsi="Consolas"/>
      <w:b/>
      <w:i/>
      <w:color w:val="60A0B0"/>
      <w:sz w:val="22"/>
    </w:rPr>
  </w:style>
  <w:style w:type="character" w:customStyle="1" w:styleId="OtherTok">
    <w:name w:val="OtherTok"/>
    <w:rPr>
      <w:rFonts w:ascii="Consolas" w:hAnsi="Consolas"/>
      <w:color w:val="007020"/>
      <w:sz w:val="22"/>
    </w:rPr>
  </w:style>
  <w:style w:type="character" w:customStyle="1" w:styleId="FunctionTok">
    <w:name w:val="FunctionTok"/>
    <w:rPr>
      <w:rFonts w:ascii="Consolas" w:hAnsi="Consolas"/>
      <w:color w:val="06287E"/>
      <w:sz w:val="22"/>
    </w:rPr>
  </w:style>
  <w:style w:type="character" w:customStyle="1" w:styleId="VariableTok">
    <w:name w:val="VariableTok"/>
    <w:rPr>
      <w:rFonts w:ascii="Consolas" w:hAnsi="Consolas"/>
      <w:color w:val="19177C"/>
      <w:sz w:val="22"/>
    </w:rPr>
  </w:style>
  <w:style w:type="character" w:customStyle="1" w:styleId="ControlFlowTok">
    <w:name w:val="ControlFlowTok"/>
    <w:rPr>
      <w:rFonts w:ascii="Consolas" w:hAnsi="Consolas"/>
      <w:b/>
      <w:color w:val="007020"/>
      <w:sz w:val="22"/>
    </w:rPr>
  </w:style>
  <w:style w:type="character" w:customStyle="1" w:styleId="OperatorTok">
    <w:name w:val="OperatorTok"/>
    <w:rPr>
      <w:rFonts w:ascii="Consolas" w:hAnsi="Consolas"/>
      <w:color w:val="666666"/>
      <w:sz w:val="22"/>
    </w:rPr>
  </w:style>
  <w:style w:type="character" w:customStyle="1" w:styleId="BuiltInTok">
    <w:name w:val="BuiltInTok"/>
    <w:rPr>
      <w:rFonts w:ascii="Consolas" w:hAnsi="Consolas"/>
      <w:sz w:val="22"/>
    </w:rPr>
  </w:style>
  <w:style w:type="character" w:customStyle="1" w:styleId="ExtensionTok">
    <w:name w:val="ExtensionTok"/>
    <w:rPr>
      <w:rFonts w:ascii="Consolas" w:hAnsi="Consolas"/>
      <w:sz w:val="22"/>
    </w:rPr>
  </w:style>
  <w:style w:type="character" w:customStyle="1" w:styleId="PreprocessorTok">
    <w:name w:val="PreprocessorTok"/>
    <w:rPr>
      <w:rFonts w:ascii="Consolas" w:hAnsi="Consolas"/>
      <w:color w:val="BC7A00"/>
      <w:sz w:val="22"/>
    </w:rPr>
  </w:style>
  <w:style w:type="character" w:customStyle="1" w:styleId="AttributeTok">
    <w:name w:val="AttributeTok"/>
    <w:rPr>
      <w:rFonts w:ascii="Consolas" w:hAnsi="Consolas"/>
      <w:color w:val="7D9029"/>
      <w:sz w:val="22"/>
    </w:rPr>
  </w:style>
  <w:style w:type="character" w:customStyle="1" w:styleId="RegionMarkerTok">
    <w:name w:val="RegionMarkerTok"/>
    <w:rPr>
      <w:rFonts w:ascii="Consolas" w:hAnsi="Consolas"/>
      <w:sz w:val="22"/>
    </w:rPr>
  </w:style>
  <w:style w:type="character" w:customStyle="1" w:styleId="InformationTok">
    <w:name w:val="InformationTok"/>
    <w:rPr>
      <w:rFonts w:ascii="Consolas" w:hAnsi="Consolas"/>
      <w:b/>
      <w:i/>
      <w:color w:val="60A0B0"/>
      <w:sz w:val="22"/>
    </w:rPr>
  </w:style>
  <w:style w:type="character" w:customStyle="1" w:styleId="WarningTok">
    <w:name w:val="WarningTok"/>
    <w:rPr>
      <w:rFonts w:ascii="Consolas" w:hAnsi="Consolas"/>
      <w:b/>
      <w:i/>
      <w:color w:val="60A0B0"/>
      <w:sz w:val="22"/>
    </w:rPr>
  </w:style>
  <w:style w:type="character" w:customStyle="1" w:styleId="AlertTok">
    <w:name w:val="AlertTok"/>
    <w:rPr>
      <w:rFonts w:ascii="Consolas" w:hAnsi="Consolas"/>
      <w:b/>
      <w:color w:val="FF0000"/>
      <w:sz w:val="22"/>
    </w:rPr>
  </w:style>
  <w:style w:type="character" w:customStyle="1" w:styleId="ErrorTok">
    <w:name w:val="ErrorTok"/>
    <w:rPr>
      <w:rFonts w:ascii="Consolas" w:hAnsi="Consolas"/>
      <w:b/>
      <w:color w:val="FF0000"/>
      <w:sz w:val="22"/>
    </w:rPr>
  </w:style>
  <w:style w:type="character" w:customStyle="1" w:styleId="NormalTok">
    <w:name w:val="NormalTok"/>
    <w:rPr>
      <w:rFonts w:ascii="Consolas" w:hAnsi="Consolas"/>
      <w:sz w:val="22"/>
    </w:rPr>
  </w:style>
  <w:style w:type="character" w:styleId="LineNumber">
    <w:name w:val="line number"/>
    <w:basedOn w:val="DefaultParagraphFont"/>
    <w:semiHidden/>
    <w:unhideWhenUsed/>
    <w:rsid w:val="006208E0"/>
  </w:style>
  <w:style w:type="paragraph" w:styleId="ListParagraph">
    <w:name w:val="List Paragraph"/>
    <w:basedOn w:val="Normal"/>
    <w:rsid w:val="002672DB"/>
    <w:pPr>
      <w:ind w:left="720"/>
      <w:contextualSpacing/>
    </w:pPr>
  </w:style>
  <w:style w:type="table" w:styleId="TableGrid">
    <w:name w:val="Table Grid"/>
    <w:basedOn w:val="TableNormal"/>
    <w:rsid w:val="008E163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
    <w:name w:val="Body Text Char"/>
    <w:basedOn w:val="DefaultParagraphFont"/>
    <w:link w:val="BodyText"/>
    <w:rsid w:val="00B02A3C"/>
  </w:style>
  <w:style w:type="character" w:styleId="Strong">
    <w:name w:val="Strong"/>
    <w:uiPriority w:val="22"/>
    <w:qFormat/>
    <w:rsid w:val="005D53A3"/>
    <w:rPr>
      <w:b/>
      <w:bCs/>
    </w:rPr>
  </w:style>
  <w:style w:type="character" w:customStyle="1" w:styleId="katex-mathml">
    <w:name w:val="katex-mathml"/>
    <w:basedOn w:val="DefaultParagraphFont"/>
    <w:rsid w:val="005D53A3"/>
  </w:style>
  <w:style w:type="character" w:customStyle="1" w:styleId="mord">
    <w:name w:val="mord"/>
    <w:basedOn w:val="DefaultParagraphFont"/>
    <w:rsid w:val="005D53A3"/>
  </w:style>
  <w:style w:type="character" w:customStyle="1" w:styleId="mopen">
    <w:name w:val="mopen"/>
    <w:basedOn w:val="DefaultParagraphFont"/>
    <w:rsid w:val="005D53A3"/>
  </w:style>
  <w:style w:type="character" w:customStyle="1" w:styleId="mclose">
    <w:name w:val="mclose"/>
    <w:basedOn w:val="DefaultParagraphFont"/>
    <w:rsid w:val="005D53A3"/>
  </w:style>
  <w:style w:type="character" w:customStyle="1" w:styleId="mrel">
    <w:name w:val="mrel"/>
    <w:basedOn w:val="DefaultParagraphFont"/>
    <w:rsid w:val="005D53A3"/>
  </w:style>
  <w:style w:type="character" w:customStyle="1" w:styleId="vlist-s">
    <w:name w:val="vlist-s"/>
    <w:basedOn w:val="DefaultParagraphFont"/>
    <w:rsid w:val="00851B2C"/>
  </w:style>
  <w:style w:type="character" w:customStyle="1" w:styleId="mbin">
    <w:name w:val="mbin"/>
    <w:basedOn w:val="DefaultParagraphFont"/>
    <w:rsid w:val="00851B2C"/>
  </w:style>
  <w:style w:type="character" w:customStyle="1" w:styleId="mop">
    <w:name w:val="mop"/>
    <w:basedOn w:val="DefaultParagraphFont"/>
    <w:rsid w:val="00F1349E"/>
  </w:style>
  <w:style w:type="character" w:customStyle="1" w:styleId="delimsizing">
    <w:name w:val="delimsizing"/>
    <w:basedOn w:val="DefaultParagraphFont"/>
    <w:rsid w:val="00F1349E"/>
  </w:style>
  <w:style w:type="character" w:customStyle="1" w:styleId="Heading1Char">
    <w:name w:val="Heading 1 Char"/>
    <w:link w:val="Heading1"/>
    <w:uiPriority w:val="9"/>
    <w:rsid w:val="00824664"/>
    <w:rPr>
      <w:rFonts w:ascii="Calibri" w:eastAsia="Times New Roman" w:hAnsi="Calibri" w:cs="Times New Roman"/>
      <w:b/>
      <w:bCs/>
      <w:color w:val="000000"/>
      <w:sz w:val="32"/>
      <w:szCs w:val="32"/>
    </w:rPr>
  </w:style>
  <w:style w:type="paragraph" w:styleId="Header">
    <w:name w:val="header"/>
    <w:basedOn w:val="Normal"/>
    <w:link w:val="HeaderChar"/>
    <w:unhideWhenUsed/>
    <w:rsid w:val="00C244FB"/>
    <w:pPr>
      <w:tabs>
        <w:tab w:val="center" w:pos="4703"/>
        <w:tab w:val="right" w:pos="9406"/>
      </w:tabs>
      <w:spacing w:after="0"/>
    </w:pPr>
  </w:style>
  <w:style w:type="character" w:customStyle="1" w:styleId="HeaderChar">
    <w:name w:val="Header Char"/>
    <w:basedOn w:val="DefaultParagraphFont"/>
    <w:link w:val="Header"/>
    <w:rsid w:val="00C244FB"/>
  </w:style>
  <w:style w:type="paragraph" w:styleId="Footer">
    <w:name w:val="footer"/>
    <w:basedOn w:val="Normal"/>
    <w:link w:val="FooterChar"/>
    <w:uiPriority w:val="99"/>
    <w:unhideWhenUsed/>
    <w:rsid w:val="00C244FB"/>
    <w:pPr>
      <w:tabs>
        <w:tab w:val="center" w:pos="4703"/>
        <w:tab w:val="right" w:pos="9406"/>
      </w:tabs>
      <w:spacing w:after="0"/>
    </w:pPr>
  </w:style>
  <w:style w:type="character" w:customStyle="1" w:styleId="FooterChar">
    <w:name w:val="Footer Char"/>
    <w:basedOn w:val="DefaultParagraphFont"/>
    <w:link w:val="Footer"/>
    <w:uiPriority w:val="99"/>
    <w:rsid w:val="00C244FB"/>
  </w:style>
  <w:style w:type="paragraph" w:styleId="BalloonText">
    <w:name w:val="Balloon Text"/>
    <w:basedOn w:val="Normal"/>
    <w:link w:val="BalloonTextChar"/>
    <w:semiHidden/>
    <w:unhideWhenUsed/>
    <w:rsid w:val="00F90B32"/>
    <w:pPr>
      <w:spacing w:after="0"/>
    </w:pPr>
    <w:rPr>
      <w:rFonts w:ascii="Segoe UI" w:hAnsi="Segoe UI" w:cs="Segoe UI"/>
      <w:sz w:val="18"/>
      <w:szCs w:val="18"/>
    </w:rPr>
  </w:style>
  <w:style w:type="character" w:customStyle="1" w:styleId="BalloonTextChar">
    <w:name w:val="Balloon Text Char"/>
    <w:link w:val="BalloonText"/>
    <w:semiHidden/>
    <w:rsid w:val="00F90B32"/>
    <w:rPr>
      <w:rFonts w:ascii="Segoe UI" w:hAnsi="Segoe UI" w:cs="Segoe UI"/>
      <w:sz w:val="18"/>
      <w:szCs w:val="18"/>
    </w:rPr>
  </w:style>
  <w:style w:type="paragraph" w:styleId="NormalWeb">
    <w:name w:val="Normal (Web)"/>
    <w:basedOn w:val="Normal"/>
    <w:uiPriority w:val="99"/>
    <w:unhideWhenUsed/>
    <w:rsid w:val="006A3113"/>
    <w:pPr>
      <w:spacing w:before="100" w:beforeAutospacing="1" w:after="100" w:afterAutospacing="1"/>
    </w:pPr>
    <w:rPr>
      <w:rFonts w:ascii="Times New Roman" w:eastAsia="Times New Roman" w:hAnsi="Times New Roman" w:cs="Times New Roman"/>
    </w:rPr>
  </w:style>
  <w:style w:type="character" w:customStyle="1" w:styleId="Heading3Char">
    <w:name w:val="Heading 3 Char"/>
    <w:link w:val="Heading3"/>
    <w:uiPriority w:val="9"/>
    <w:rsid w:val="00824664"/>
    <w:rPr>
      <w:rFonts w:ascii="Calibri" w:eastAsia="Times New Roman" w:hAnsi="Calibri" w:cs="Times New Roman"/>
      <w:b/>
      <w:bCs/>
      <w:color w:val="000000"/>
      <w:sz w:val="24"/>
      <w:szCs w:val="24"/>
    </w:rPr>
  </w:style>
  <w:style w:type="character" w:styleId="UnresolvedMention">
    <w:name w:val="Unresolved Mention"/>
    <w:uiPriority w:val="99"/>
    <w:semiHidden/>
    <w:unhideWhenUsed/>
    <w:rsid w:val="0006235F"/>
    <w:rPr>
      <w:color w:val="605E5C"/>
      <w:shd w:val="clear" w:color="auto" w:fill="E1DFDD"/>
    </w:rPr>
  </w:style>
  <w:style w:type="character" w:customStyle="1" w:styleId="Heading2Char">
    <w:name w:val="Heading 2 Char"/>
    <w:link w:val="Heading2"/>
    <w:uiPriority w:val="9"/>
    <w:rsid w:val="00821B37"/>
    <w:rPr>
      <w:rFonts w:ascii="Calibri" w:eastAsia="Times New Roman" w:hAnsi="Calibri" w:cs="Times New Roman"/>
      <w:b/>
      <w:bCs/>
      <w:color w:val="000000"/>
      <w:sz w:val="28"/>
      <w:szCs w:val="28"/>
    </w:rPr>
  </w:style>
  <w:style w:type="paragraph" w:styleId="ListBullet">
    <w:name w:val="List Bullet"/>
    <w:basedOn w:val="Normal"/>
    <w:uiPriority w:val="99"/>
    <w:unhideWhenUsed/>
    <w:rsid w:val="00010CF3"/>
    <w:pPr>
      <w:numPr>
        <w:numId w:val="18"/>
      </w:numPr>
      <w:tabs>
        <w:tab w:val="clear" w:pos="360"/>
        <w:tab w:val="num" w:pos="0"/>
      </w:tabs>
      <w:spacing w:line="276" w:lineRule="auto"/>
      <w:ind w:left="480" w:hanging="480"/>
      <w:contextualSpacing/>
    </w:pPr>
    <w:rPr>
      <w:rFonts w:ascii="Arial" w:eastAsia="Arial" w:hAnsi="Arial"/>
      <w:sz w:val="21"/>
      <w:szCs w:val="22"/>
    </w:rPr>
  </w:style>
  <w:style w:type="table" w:styleId="PlainTable2">
    <w:name w:val="Plain Table 2"/>
    <w:basedOn w:val="TableNormal"/>
    <w:rsid w:val="00A8094E"/>
    <w:rPr>
      <w:rFonts w:eastAsia="MS Mincho"/>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PlainTable4">
    <w:name w:val="Plain Table 4"/>
    <w:basedOn w:val="TableNormal"/>
    <w:rsid w:val="00A8094E"/>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Revision">
    <w:name w:val="Revision"/>
    <w:hidden/>
    <w:semiHidden/>
    <w:rsid w:val="00835E3F"/>
    <w:rPr>
      <w:sz w:val="24"/>
      <w:szCs w:val="24"/>
    </w:rPr>
  </w:style>
  <w:style w:type="character" w:styleId="CommentReference">
    <w:name w:val="annotation reference"/>
    <w:basedOn w:val="DefaultParagraphFont"/>
    <w:semiHidden/>
    <w:unhideWhenUsed/>
    <w:rsid w:val="00835E3F"/>
    <w:rPr>
      <w:sz w:val="16"/>
      <w:szCs w:val="16"/>
    </w:rPr>
  </w:style>
  <w:style w:type="paragraph" w:styleId="CommentText">
    <w:name w:val="annotation text"/>
    <w:basedOn w:val="Normal"/>
    <w:link w:val="CommentTextChar"/>
    <w:semiHidden/>
    <w:unhideWhenUsed/>
    <w:rsid w:val="00835E3F"/>
    <w:rPr>
      <w:sz w:val="20"/>
      <w:szCs w:val="20"/>
    </w:rPr>
  </w:style>
  <w:style w:type="character" w:customStyle="1" w:styleId="CommentTextChar">
    <w:name w:val="Comment Text Char"/>
    <w:basedOn w:val="DefaultParagraphFont"/>
    <w:link w:val="CommentText"/>
    <w:semiHidden/>
    <w:rsid w:val="00835E3F"/>
  </w:style>
  <w:style w:type="paragraph" w:styleId="CommentSubject">
    <w:name w:val="annotation subject"/>
    <w:basedOn w:val="CommentText"/>
    <w:next w:val="CommentText"/>
    <w:link w:val="CommentSubjectChar"/>
    <w:semiHidden/>
    <w:unhideWhenUsed/>
    <w:rsid w:val="00835E3F"/>
    <w:rPr>
      <w:b/>
      <w:bCs/>
    </w:rPr>
  </w:style>
  <w:style w:type="character" w:customStyle="1" w:styleId="CommentSubjectChar">
    <w:name w:val="Comment Subject Char"/>
    <w:basedOn w:val="CommentTextChar"/>
    <w:link w:val="CommentSubject"/>
    <w:semiHidden/>
    <w:rsid w:val="00835E3F"/>
    <w:rPr>
      <w:b/>
      <w:bCs/>
    </w:rPr>
  </w:style>
  <w:style w:type="character" w:styleId="PlaceholderText">
    <w:name w:val="Placeholder Text"/>
    <w:basedOn w:val="DefaultParagraphFont"/>
    <w:semiHidden/>
    <w:rsid w:val="005D797B"/>
    <w:rPr>
      <w:color w:val="666666"/>
    </w:rPr>
  </w:style>
  <w:style w:type="paragraph" w:customStyle="1" w:styleId="font-claude-response-body">
    <w:name w:val="font-claude-response-body"/>
    <w:basedOn w:val="Normal"/>
    <w:rsid w:val="008F0694"/>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072708">
      <w:bodyDiv w:val="1"/>
      <w:marLeft w:val="0"/>
      <w:marRight w:val="0"/>
      <w:marTop w:val="0"/>
      <w:marBottom w:val="0"/>
      <w:divBdr>
        <w:top w:val="none" w:sz="0" w:space="0" w:color="auto"/>
        <w:left w:val="none" w:sz="0" w:space="0" w:color="auto"/>
        <w:bottom w:val="none" w:sz="0" w:space="0" w:color="auto"/>
        <w:right w:val="none" w:sz="0" w:space="0" w:color="auto"/>
      </w:divBdr>
    </w:div>
    <w:div w:id="13580368">
      <w:bodyDiv w:val="1"/>
      <w:marLeft w:val="0"/>
      <w:marRight w:val="0"/>
      <w:marTop w:val="0"/>
      <w:marBottom w:val="0"/>
      <w:divBdr>
        <w:top w:val="none" w:sz="0" w:space="0" w:color="auto"/>
        <w:left w:val="none" w:sz="0" w:space="0" w:color="auto"/>
        <w:bottom w:val="none" w:sz="0" w:space="0" w:color="auto"/>
        <w:right w:val="none" w:sz="0" w:space="0" w:color="auto"/>
      </w:divBdr>
      <w:divsChild>
        <w:div w:id="206068932">
          <w:marLeft w:val="0"/>
          <w:marRight w:val="0"/>
          <w:marTop w:val="120"/>
          <w:marBottom w:val="120"/>
          <w:divBdr>
            <w:top w:val="none" w:sz="0" w:space="0" w:color="auto"/>
            <w:left w:val="none" w:sz="0" w:space="0" w:color="auto"/>
            <w:bottom w:val="none" w:sz="0" w:space="0" w:color="auto"/>
            <w:right w:val="none" w:sz="0" w:space="0" w:color="auto"/>
          </w:divBdr>
        </w:div>
        <w:div w:id="1573658679">
          <w:marLeft w:val="0"/>
          <w:marRight w:val="0"/>
          <w:marTop w:val="120"/>
          <w:marBottom w:val="120"/>
          <w:divBdr>
            <w:top w:val="none" w:sz="0" w:space="0" w:color="auto"/>
            <w:left w:val="none" w:sz="0" w:space="0" w:color="auto"/>
            <w:bottom w:val="none" w:sz="0" w:space="0" w:color="auto"/>
            <w:right w:val="none" w:sz="0" w:space="0" w:color="auto"/>
          </w:divBdr>
        </w:div>
        <w:div w:id="2111386197">
          <w:marLeft w:val="0"/>
          <w:marRight w:val="0"/>
          <w:marTop w:val="120"/>
          <w:marBottom w:val="120"/>
          <w:divBdr>
            <w:top w:val="none" w:sz="0" w:space="0" w:color="auto"/>
            <w:left w:val="none" w:sz="0" w:space="0" w:color="auto"/>
            <w:bottom w:val="none" w:sz="0" w:space="0" w:color="auto"/>
            <w:right w:val="none" w:sz="0" w:space="0" w:color="auto"/>
          </w:divBdr>
        </w:div>
      </w:divsChild>
    </w:div>
    <w:div w:id="15545621">
      <w:bodyDiv w:val="1"/>
      <w:marLeft w:val="0"/>
      <w:marRight w:val="0"/>
      <w:marTop w:val="0"/>
      <w:marBottom w:val="0"/>
      <w:divBdr>
        <w:top w:val="none" w:sz="0" w:space="0" w:color="auto"/>
        <w:left w:val="none" w:sz="0" w:space="0" w:color="auto"/>
        <w:bottom w:val="none" w:sz="0" w:space="0" w:color="auto"/>
        <w:right w:val="none" w:sz="0" w:space="0" w:color="auto"/>
      </w:divBdr>
    </w:div>
    <w:div w:id="26683391">
      <w:bodyDiv w:val="1"/>
      <w:marLeft w:val="0"/>
      <w:marRight w:val="0"/>
      <w:marTop w:val="0"/>
      <w:marBottom w:val="0"/>
      <w:divBdr>
        <w:top w:val="none" w:sz="0" w:space="0" w:color="auto"/>
        <w:left w:val="none" w:sz="0" w:space="0" w:color="auto"/>
        <w:bottom w:val="none" w:sz="0" w:space="0" w:color="auto"/>
        <w:right w:val="none" w:sz="0" w:space="0" w:color="auto"/>
      </w:divBdr>
      <w:divsChild>
        <w:div w:id="619607562">
          <w:marLeft w:val="0"/>
          <w:marRight w:val="0"/>
          <w:marTop w:val="0"/>
          <w:marBottom w:val="0"/>
          <w:divBdr>
            <w:top w:val="none" w:sz="0" w:space="0" w:color="auto"/>
            <w:left w:val="none" w:sz="0" w:space="0" w:color="auto"/>
            <w:bottom w:val="none" w:sz="0" w:space="0" w:color="auto"/>
            <w:right w:val="none" w:sz="0" w:space="0" w:color="auto"/>
          </w:divBdr>
          <w:divsChild>
            <w:div w:id="1936090330">
              <w:marLeft w:val="0"/>
              <w:marRight w:val="0"/>
              <w:marTop w:val="0"/>
              <w:marBottom w:val="0"/>
              <w:divBdr>
                <w:top w:val="none" w:sz="0" w:space="0" w:color="auto"/>
                <w:left w:val="none" w:sz="0" w:space="0" w:color="auto"/>
                <w:bottom w:val="none" w:sz="0" w:space="0" w:color="auto"/>
                <w:right w:val="none" w:sz="0" w:space="0" w:color="auto"/>
              </w:divBdr>
              <w:divsChild>
                <w:div w:id="153763997">
                  <w:marLeft w:val="0"/>
                  <w:marRight w:val="0"/>
                  <w:marTop w:val="0"/>
                  <w:marBottom w:val="0"/>
                  <w:divBdr>
                    <w:top w:val="none" w:sz="0" w:space="0" w:color="auto"/>
                    <w:left w:val="none" w:sz="0" w:space="0" w:color="auto"/>
                    <w:bottom w:val="none" w:sz="0" w:space="0" w:color="auto"/>
                    <w:right w:val="none" w:sz="0" w:space="0" w:color="auto"/>
                  </w:divBdr>
                  <w:divsChild>
                    <w:div w:id="101389123">
                      <w:marLeft w:val="0"/>
                      <w:marRight w:val="0"/>
                      <w:marTop w:val="0"/>
                      <w:marBottom w:val="0"/>
                      <w:divBdr>
                        <w:top w:val="none" w:sz="0" w:space="0" w:color="auto"/>
                        <w:left w:val="none" w:sz="0" w:space="0" w:color="auto"/>
                        <w:bottom w:val="none" w:sz="0" w:space="0" w:color="auto"/>
                        <w:right w:val="none" w:sz="0" w:space="0" w:color="auto"/>
                      </w:divBdr>
                      <w:divsChild>
                        <w:div w:id="1557425783">
                          <w:marLeft w:val="0"/>
                          <w:marRight w:val="0"/>
                          <w:marTop w:val="0"/>
                          <w:marBottom w:val="0"/>
                          <w:divBdr>
                            <w:top w:val="none" w:sz="0" w:space="0" w:color="auto"/>
                            <w:left w:val="none" w:sz="0" w:space="0" w:color="auto"/>
                            <w:bottom w:val="none" w:sz="0" w:space="0" w:color="auto"/>
                            <w:right w:val="none" w:sz="0" w:space="0" w:color="auto"/>
                          </w:divBdr>
                          <w:divsChild>
                            <w:div w:id="1631207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683692">
      <w:bodyDiv w:val="1"/>
      <w:marLeft w:val="0"/>
      <w:marRight w:val="0"/>
      <w:marTop w:val="0"/>
      <w:marBottom w:val="0"/>
      <w:divBdr>
        <w:top w:val="none" w:sz="0" w:space="0" w:color="auto"/>
        <w:left w:val="none" w:sz="0" w:space="0" w:color="auto"/>
        <w:bottom w:val="none" w:sz="0" w:space="0" w:color="auto"/>
        <w:right w:val="none" w:sz="0" w:space="0" w:color="auto"/>
      </w:divBdr>
    </w:div>
    <w:div w:id="32198666">
      <w:bodyDiv w:val="1"/>
      <w:marLeft w:val="0"/>
      <w:marRight w:val="0"/>
      <w:marTop w:val="0"/>
      <w:marBottom w:val="0"/>
      <w:divBdr>
        <w:top w:val="none" w:sz="0" w:space="0" w:color="auto"/>
        <w:left w:val="none" w:sz="0" w:space="0" w:color="auto"/>
        <w:bottom w:val="none" w:sz="0" w:space="0" w:color="auto"/>
        <w:right w:val="none" w:sz="0" w:space="0" w:color="auto"/>
      </w:divBdr>
    </w:div>
    <w:div w:id="38625245">
      <w:bodyDiv w:val="1"/>
      <w:marLeft w:val="0"/>
      <w:marRight w:val="0"/>
      <w:marTop w:val="0"/>
      <w:marBottom w:val="0"/>
      <w:divBdr>
        <w:top w:val="none" w:sz="0" w:space="0" w:color="auto"/>
        <w:left w:val="none" w:sz="0" w:space="0" w:color="auto"/>
        <w:bottom w:val="none" w:sz="0" w:space="0" w:color="auto"/>
        <w:right w:val="none" w:sz="0" w:space="0" w:color="auto"/>
      </w:divBdr>
    </w:div>
    <w:div w:id="50882684">
      <w:bodyDiv w:val="1"/>
      <w:marLeft w:val="0"/>
      <w:marRight w:val="0"/>
      <w:marTop w:val="0"/>
      <w:marBottom w:val="0"/>
      <w:divBdr>
        <w:top w:val="none" w:sz="0" w:space="0" w:color="auto"/>
        <w:left w:val="none" w:sz="0" w:space="0" w:color="auto"/>
        <w:bottom w:val="none" w:sz="0" w:space="0" w:color="auto"/>
        <w:right w:val="none" w:sz="0" w:space="0" w:color="auto"/>
      </w:divBdr>
    </w:div>
    <w:div w:id="54282165">
      <w:bodyDiv w:val="1"/>
      <w:marLeft w:val="0"/>
      <w:marRight w:val="0"/>
      <w:marTop w:val="0"/>
      <w:marBottom w:val="0"/>
      <w:divBdr>
        <w:top w:val="none" w:sz="0" w:space="0" w:color="auto"/>
        <w:left w:val="none" w:sz="0" w:space="0" w:color="auto"/>
        <w:bottom w:val="none" w:sz="0" w:space="0" w:color="auto"/>
        <w:right w:val="none" w:sz="0" w:space="0" w:color="auto"/>
      </w:divBdr>
    </w:div>
    <w:div w:id="69234294">
      <w:bodyDiv w:val="1"/>
      <w:marLeft w:val="0"/>
      <w:marRight w:val="0"/>
      <w:marTop w:val="0"/>
      <w:marBottom w:val="0"/>
      <w:divBdr>
        <w:top w:val="none" w:sz="0" w:space="0" w:color="auto"/>
        <w:left w:val="none" w:sz="0" w:space="0" w:color="auto"/>
        <w:bottom w:val="none" w:sz="0" w:space="0" w:color="auto"/>
        <w:right w:val="none" w:sz="0" w:space="0" w:color="auto"/>
      </w:divBdr>
      <w:divsChild>
        <w:div w:id="1693065585">
          <w:marLeft w:val="0"/>
          <w:marRight w:val="0"/>
          <w:marTop w:val="120"/>
          <w:marBottom w:val="120"/>
          <w:divBdr>
            <w:top w:val="none" w:sz="0" w:space="0" w:color="auto"/>
            <w:left w:val="none" w:sz="0" w:space="0" w:color="auto"/>
            <w:bottom w:val="none" w:sz="0" w:space="0" w:color="auto"/>
            <w:right w:val="none" w:sz="0" w:space="0" w:color="auto"/>
          </w:divBdr>
        </w:div>
      </w:divsChild>
    </w:div>
    <w:div w:id="70081221">
      <w:bodyDiv w:val="1"/>
      <w:marLeft w:val="0"/>
      <w:marRight w:val="0"/>
      <w:marTop w:val="0"/>
      <w:marBottom w:val="0"/>
      <w:divBdr>
        <w:top w:val="none" w:sz="0" w:space="0" w:color="auto"/>
        <w:left w:val="none" w:sz="0" w:space="0" w:color="auto"/>
        <w:bottom w:val="none" w:sz="0" w:space="0" w:color="auto"/>
        <w:right w:val="none" w:sz="0" w:space="0" w:color="auto"/>
      </w:divBdr>
      <w:divsChild>
        <w:div w:id="763691678">
          <w:marLeft w:val="0"/>
          <w:marRight w:val="0"/>
          <w:marTop w:val="120"/>
          <w:marBottom w:val="120"/>
          <w:divBdr>
            <w:top w:val="none" w:sz="0" w:space="0" w:color="auto"/>
            <w:left w:val="none" w:sz="0" w:space="0" w:color="auto"/>
            <w:bottom w:val="none" w:sz="0" w:space="0" w:color="auto"/>
            <w:right w:val="none" w:sz="0" w:space="0" w:color="auto"/>
          </w:divBdr>
        </w:div>
        <w:div w:id="831337128">
          <w:marLeft w:val="0"/>
          <w:marRight w:val="0"/>
          <w:marTop w:val="120"/>
          <w:marBottom w:val="120"/>
          <w:divBdr>
            <w:top w:val="none" w:sz="0" w:space="0" w:color="auto"/>
            <w:left w:val="none" w:sz="0" w:space="0" w:color="auto"/>
            <w:bottom w:val="none" w:sz="0" w:space="0" w:color="auto"/>
            <w:right w:val="none" w:sz="0" w:space="0" w:color="auto"/>
          </w:divBdr>
        </w:div>
        <w:div w:id="1826973594">
          <w:marLeft w:val="0"/>
          <w:marRight w:val="0"/>
          <w:marTop w:val="120"/>
          <w:marBottom w:val="120"/>
          <w:divBdr>
            <w:top w:val="none" w:sz="0" w:space="0" w:color="auto"/>
            <w:left w:val="none" w:sz="0" w:space="0" w:color="auto"/>
            <w:bottom w:val="none" w:sz="0" w:space="0" w:color="auto"/>
            <w:right w:val="none" w:sz="0" w:space="0" w:color="auto"/>
          </w:divBdr>
        </w:div>
        <w:div w:id="2115980764">
          <w:marLeft w:val="0"/>
          <w:marRight w:val="0"/>
          <w:marTop w:val="120"/>
          <w:marBottom w:val="120"/>
          <w:divBdr>
            <w:top w:val="none" w:sz="0" w:space="0" w:color="auto"/>
            <w:left w:val="none" w:sz="0" w:space="0" w:color="auto"/>
            <w:bottom w:val="none" w:sz="0" w:space="0" w:color="auto"/>
            <w:right w:val="none" w:sz="0" w:space="0" w:color="auto"/>
          </w:divBdr>
        </w:div>
      </w:divsChild>
    </w:div>
    <w:div w:id="72316267">
      <w:bodyDiv w:val="1"/>
      <w:marLeft w:val="0"/>
      <w:marRight w:val="0"/>
      <w:marTop w:val="0"/>
      <w:marBottom w:val="0"/>
      <w:divBdr>
        <w:top w:val="none" w:sz="0" w:space="0" w:color="auto"/>
        <w:left w:val="none" w:sz="0" w:space="0" w:color="auto"/>
        <w:bottom w:val="none" w:sz="0" w:space="0" w:color="auto"/>
        <w:right w:val="none" w:sz="0" w:space="0" w:color="auto"/>
      </w:divBdr>
      <w:divsChild>
        <w:div w:id="157382298">
          <w:marLeft w:val="0"/>
          <w:marRight w:val="0"/>
          <w:marTop w:val="120"/>
          <w:marBottom w:val="120"/>
          <w:divBdr>
            <w:top w:val="none" w:sz="0" w:space="0" w:color="auto"/>
            <w:left w:val="none" w:sz="0" w:space="0" w:color="auto"/>
            <w:bottom w:val="none" w:sz="0" w:space="0" w:color="auto"/>
            <w:right w:val="none" w:sz="0" w:space="0" w:color="auto"/>
          </w:divBdr>
        </w:div>
        <w:div w:id="491262514">
          <w:marLeft w:val="0"/>
          <w:marRight w:val="0"/>
          <w:marTop w:val="120"/>
          <w:marBottom w:val="120"/>
          <w:divBdr>
            <w:top w:val="none" w:sz="0" w:space="0" w:color="auto"/>
            <w:left w:val="none" w:sz="0" w:space="0" w:color="auto"/>
            <w:bottom w:val="none" w:sz="0" w:space="0" w:color="auto"/>
            <w:right w:val="none" w:sz="0" w:space="0" w:color="auto"/>
          </w:divBdr>
        </w:div>
      </w:divsChild>
    </w:div>
    <w:div w:id="81807338">
      <w:bodyDiv w:val="1"/>
      <w:marLeft w:val="0"/>
      <w:marRight w:val="0"/>
      <w:marTop w:val="0"/>
      <w:marBottom w:val="0"/>
      <w:divBdr>
        <w:top w:val="none" w:sz="0" w:space="0" w:color="auto"/>
        <w:left w:val="none" w:sz="0" w:space="0" w:color="auto"/>
        <w:bottom w:val="none" w:sz="0" w:space="0" w:color="auto"/>
        <w:right w:val="none" w:sz="0" w:space="0" w:color="auto"/>
      </w:divBdr>
    </w:div>
    <w:div w:id="89739460">
      <w:bodyDiv w:val="1"/>
      <w:marLeft w:val="0"/>
      <w:marRight w:val="0"/>
      <w:marTop w:val="0"/>
      <w:marBottom w:val="0"/>
      <w:divBdr>
        <w:top w:val="none" w:sz="0" w:space="0" w:color="auto"/>
        <w:left w:val="none" w:sz="0" w:space="0" w:color="auto"/>
        <w:bottom w:val="none" w:sz="0" w:space="0" w:color="auto"/>
        <w:right w:val="none" w:sz="0" w:space="0" w:color="auto"/>
      </w:divBdr>
      <w:divsChild>
        <w:div w:id="380594053">
          <w:marLeft w:val="0"/>
          <w:marRight w:val="0"/>
          <w:marTop w:val="120"/>
          <w:marBottom w:val="120"/>
          <w:divBdr>
            <w:top w:val="none" w:sz="0" w:space="0" w:color="auto"/>
            <w:left w:val="none" w:sz="0" w:space="0" w:color="auto"/>
            <w:bottom w:val="none" w:sz="0" w:space="0" w:color="auto"/>
            <w:right w:val="none" w:sz="0" w:space="0" w:color="auto"/>
          </w:divBdr>
        </w:div>
        <w:div w:id="1181704435">
          <w:marLeft w:val="0"/>
          <w:marRight w:val="0"/>
          <w:marTop w:val="120"/>
          <w:marBottom w:val="120"/>
          <w:divBdr>
            <w:top w:val="none" w:sz="0" w:space="0" w:color="auto"/>
            <w:left w:val="none" w:sz="0" w:space="0" w:color="auto"/>
            <w:bottom w:val="none" w:sz="0" w:space="0" w:color="auto"/>
            <w:right w:val="none" w:sz="0" w:space="0" w:color="auto"/>
          </w:divBdr>
        </w:div>
        <w:div w:id="1813134037">
          <w:marLeft w:val="0"/>
          <w:marRight w:val="0"/>
          <w:marTop w:val="120"/>
          <w:marBottom w:val="120"/>
          <w:divBdr>
            <w:top w:val="none" w:sz="0" w:space="0" w:color="auto"/>
            <w:left w:val="none" w:sz="0" w:space="0" w:color="auto"/>
            <w:bottom w:val="none" w:sz="0" w:space="0" w:color="auto"/>
            <w:right w:val="none" w:sz="0" w:space="0" w:color="auto"/>
          </w:divBdr>
        </w:div>
      </w:divsChild>
    </w:div>
    <w:div w:id="95710632">
      <w:bodyDiv w:val="1"/>
      <w:marLeft w:val="0"/>
      <w:marRight w:val="0"/>
      <w:marTop w:val="0"/>
      <w:marBottom w:val="0"/>
      <w:divBdr>
        <w:top w:val="none" w:sz="0" w:space="0" w:color="auto"/>
        <w:left w:val="none" w:sz="0" w:space="0" w:color="auto"/>
        <w:bottom w:val="none" w:sz="0" w:space="0" w:color="auto"/>
        <w:right w:val="none" w:sz="0" w:space="0" w:color="auto"/>
      </w:divBdr>
      <w:divsChild>
        <w:div w:id="1850949209">
          <w:marLeft w:val="0"/>
          <w:marRight w:val="0"/>
          <w:marTop w:val="0"/>
          <w:marBottom w:val="0"/>
          <w:divBdr>
            <w:top w:val="none" w:sz="0" w:space="0" w:color="auto"/>
            <w:left w:val="none" w:sz="0" w:space="0" w:color="auto"/>
            <w:bottom w:val="none" w:sz="0" w:space="0" w:color="auto"/>
            <w:right w:val="none" w:sz="0" w:space="0" w:color="auto"/>
          </w:divBdr>
          <w:divsChild>
            <w:div w:id="945575021">
              <w:marLeft w:val="0"/>
              <w:marRight w:val="0"/>
              <w:marTop w:val="0"/>
              <w:marBottom w:val="0"/>
              <w:divBdr>
                <w:top w:val="none" w:sz="0" w:space="0" w:color="auto"/>
                <w:left w:val="none" w:sz="0" w:space="0" w:color="auto"/>
                <w:bottom w:val="none" w:sz="0" w:space="0" w:color="auto"/>
                <w:right w:val="none" w:sz="0" w:space="0" w:color="auto"/>
              </w:divBdr>
              <w:divsChild>
                <w:div w:id="1114598639">
                  <w:marLeft w:val="0"/>
                  <w:marRight w:val="0"/>
                  <w:marTop w:val="0"/>
                  <w:marBottom w:val="0"/>
                  <w:divBdr>
                    <w:top w:val="none" w:sz="0" w:space="0" w:color="auto"/>
                    <w:left w:val="none" w:sz="0" w:space="0" w:color="auto"/>
                    <w:bottom w:val="none" w:sz="0" w:space="0" w:color="auto"/>
                    <w:right w:val="none" w:sz="0" w:space="0" w:color="auto"/>
                  </w:divBdr>
                  <w:divsChild>
                    <w:div w:id="1695689803">
                      <w:marLeft w:val="0"/>
                      <w:marRight w:val="0"/>
                      <w:marTop w:val="0"/>
                      <w:marBottom w:val="0"/>
                      <w:divBdr>
                        <w:top w:val="none" w:sz="0" w:space="0" w:color="auto"/>
                        <w:left w:val="none" w:sz="0" w:space="0" w:color="auto"/>
                        <w:bottom w:val="none" w:sz="0" w:space="0" w:color="auto"/>
                        <w:right w:val="none" w:sz="0" w:space="0" w:color="auto"/>
                      </w:divBdr>
                      <w:divsChild>
                        <w:div w:id="521626587">
                          <w:marLeft w:val="0"/>
                          <w:marRight w:val="0"/>
                          <w:marTop w:val="0"/>
                          <w:marBottom w:val="0"/>
                          <w:divBdr>
                            <w:top w:val="none" w:sz="0" w:space="0" w:color="auto"/>
                            <w:left w:val="none" w:sz="0" w:space="0" w:color="auto"/>
                            <w:bottom w:val="none" w:sz="0" w:space="0" w:color="auto"/>
                            <w:right w:val="none" w:sz="0" w:space="0" w:color="auto"/>
                          </w:divBdr>
                          <w:divsChild>
                            <w:div w:id="2142260293">
                              <w:marLeft w:val="0"/>
                              <w:marRight w:val="0"/>
                              <w:marTop w:val="0"/>
                              <w:marBottom w:val="0"/>
                              <w:divBdr>
                                <w:top w:val="none" w:sz="0" w:space="0" w:color="auto"/>
                                <w:left w:val="none" w:sz="0" w:space="0" w:color="auto"/>
                                <w:bottom w:val="none" w:sz="0" w:space="0" w:color="auto"/>
                                <w:right w:val="none" w:sz="0" w:space="0" w:color="auto"/>
                              </w:divBdr>
                              <w:divsChild>
                                <w:div w:id="1486241633">
                                  <w:marLeft w:val="0"/>
                                  <w:marRight w:val="0"/>
                                  <w:marTop w:val="0"/>
                                  <w:marBottom w:val="0"/>
                                  <w:divBdr>
                                    <w:top w:val="none" w:sz="0" w:space="0" w:color="auto"/>
                                    <w:left w:val="none" w:sz="0" w:space="0" w:color="auto"/>
                                    <w:bottom w:val="none" w:sz="0" w:space="0" w:color="auto"/>
                                    <w:right w:val="none" w:sz="0" w:space="0" w:color="auto"/>
                                  </w:divBdr>
                                  <w:divsChild>
                                    <w:div w:id="119810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0105187">
      <w:bodyDiv w:val="1"/>
      <w:marLeft w:val="0"/>
      <w:marRight w:val="0"/>
      <w:marTop w:val="0"/>
      <w:marBottom w:val="0"/>
      <w:divBdr>
        <w:top w:val="none" w:sz="0" w:space="0" w:color="auto"/>
        <w:left w:val="none" w:sz="0" w:space="0" w:color="auto"/>
        <w:bottom w:val="none" w:sz="0" w:space="0" w:color="auto"/>
        <w:right w:val="none" w:sz="0" w:space="0" w:color="auto"/>
      </w:divBdr>
      <w:divsChild>
        <w:div w:id="1920483262">
          <w:marLeft w:val="0"/>
          <w:marRight w:val="0"/>
          <w:marTop w:val="0"/>
          <w:marBottom w:val="0"/>
          <w:divBdr>
            <w:top w:val="none" w:sz="0" w:space="0" w:color="auto"/>
            <w:left w:val="none" w:sz="0" w:space="0" w:color="auto"/>
            <w:bottom w:val="none" w:sz="0" w:space="0" w:color="auto"/>
            <w:right w:val="none" w:sz="0" w:space="0" w:color="auto"/>
          </w:divBdr>
          <w:divsChild>
            <w:div w:id="1153377646">
              <w:marLeft w:val="0"/>
              <w:marRight w:val="0"/>
              <w:marTop w:val="0"/>
              <w:marBottom w:val="0"/>
              <w:divBdr>
                <w:top w:val="none" w:sz="0" w:space="0" w:color="auto"/>
                <w:left w:val="none" w:sz="0" w:space="0" w:color="auto"/>
                <w:bottom w:val="none" w:sz="0" w:space="0" w:color="auto"/>
                <w:right w:val="none" w:sz="0" w:space="0" w:color="auto"/>
              </w:divBdr>
              <w:divsChild>
                <w:div w:id="1111775874">
                  <w:marLeft w:val="0"/>
                  <w:marRight w:val="0"/>
                  <w:marTop w:val="0"/>
                  <w:marBottom w:val="0"/>
                  <w:divBdr>
                    <w:top w:val="none" w:sz="0" w:space="0" w:color="auto"/>
                    <w:left w:val="none" w:sz="0" w:space="0" w:color="auto"/>
                    <w:bottom w:val="none" w:sz="0" w:space="0" w:color="auto"/>
                    <w:right w:val="none" w:sz="0" w:space="0" w:color="auto"/>
                  </w:divBdr>
                  <w:divsChild>
                    <w:div w:id="661743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681262">
      <w:bodyDiv w:val="1"/>
      <w:marLeft w:val="0"/>
      <w:marRight w:val="0"/>
      <w:marTop w:val="0"/>
      <w:marBottom w:val="0"/>
      <w:divBdr>
        <w:top w:val="none" w:sz="0" w:space="0" w:color="auto"/>
        <w:left w:val="none" w:sz="0" w:space="0" w:color="auto"/>
        <w:bottom w:val="none" w:sz="0" w:space="0" w:color="auto"/>
        <w:right w:val="none" w:sz="0" w:space="0" w:color="auto"/>
      </w:divBdr>
      <w:divsChild>
        <w:div w:id="816797692">
          <w:marLeft w:val="0"/>
          <w:marRight w:val="0"/>
          <w:marTop w:val="0"/>
          <w:marBottom w:val="0"/>
          <w:divBdr>
            <w:top w:val="none" w:sz="0" w:space="0" w:color="auto"/>
            <w:left w:val="none" w:sz="0" w:space="0" w:color="auto"/>
            <w:bottom w:val="none" w:sz="0" w:space="0" w:color="auto"/>
            <w:right w:val="none" w:sz="0" w:space="0" w:color="auto"/>
          </w:divBdr>
          <w:divsChild>
            <w:div w:id="248657184">
              <w:marLeft w:val="0"/>
              <w:marRight w:val="0"/>
              <w:marTop w:val="0"/>
              <w:marBottom w:val="0"/>
              <w:divBdr>
                <w:top w:val="none" w:sz="0" w:space="0" w:color="auto"/>
                <w:left w:val="none" w:sz="0" w:space="0" w:color="auto"/>
                <w:bottom w:val="none" w:sz="0" w:space="0" w:color="auto"/>
                <w:right w:val="none" w:sz="0" w:space="0" w:color="auto"/>
              </w:divBdr>
              <w:divsChild>
                <w:div w:id="658121414">
                  <w:marLeft w:val="0"/>
                  <w:marRight w:val="0"/>
                  <w:marTop w:val="0"/>
                  <w:marBottom w:val="0"/>
                  <w:divBdr>
                    <w:top w:val="none" w:sz="0" w:space="0" w:color="auto"/>
                    <w:left w:val="none" w:sz="0" w:space="0" w:color="auto"/>
                    <w:bottom w:val="none" w:sz="0" w:space="0" w:color="auto"/>
                    <w:right w:val="none" w:sz="0" w:space="0" w:color="auto"/>
                  </w:divBdr>
                  <w:divsChild>
                    <w:div w:id="712581303">
                      <w:marLeft w:val="0"/>
                      <w:marRight w:val="0"/>
                      <w:marTop w:val="0"/>
                      <w:marBottom w:val="0"/>
                      <w:divBdr>
                        <w:top w:val="none" w:sz="0" w:space="0" w:color="auto"/>
                        <w:left w:val="none" w:sz="0" w:space="0" w:color="auto"/>
                        <w:bottom w:val="none" w:sz="0" w:space="0" w:color="auto"/>
                        <w:right w:val="none" w:sz="0" w:space="0" w:color="auto"/>
                      </w:divBdr>
                      <w:divsChild>
                        <w:div w:id="1219897531">
                          <w:marLeft w:val="0"/>
                          <w:marRight w:val="0"/>
                          <w:marTop w:val="0"/>
                          <w:marBottom w:val="0"/>
                          <w:divBdr>
                            <w:top w:val="none" w:sz="0" w:space="0" w:color="auto"/>
                            <w:left w:val="none" w:sz="0" w:space="0" w:color="auto"/>
                            <w:bottom w:val="none" w:sz="0" w:space="0" w:color="auto"/>
                            <w:right w:val="none" w:sz="0" w:space="0" w:color="auto"/>
                          </w:divBdr>
                          <w:divsChild>
                            <w:div w:id="254873399">
                              <w:marLeft w:val="0"/>
                              <w:marRight w:val="0"/>
                              <w:marTop w:val="0"/>
                              <w:marBottom w:val="0"/>
                              <w:divBdr>
                                <w:top w:val="none" w:sz="0" w:space="0" w:color="auto"/>
                                <w:left w:val="none" w:sz="0" w:space="0" w:color="auto"/>
                                <w:bottom w:val="none" w:sz="0" w:space="0" w:color="auto"/>
                                <w:right w:val="none" w:sz="0" w:space="0" w:color="auto"/>
                              </w:divBdr>
                              <w:divsChild>
                                <w:div w:id="2064331736">
                                  <w:marLeft w:val="0"/>
                                  <w:marRight w:val="0"/>
                                  <w:marTop w:val="0"/>
                                  <w:marBottom w:val="0"/>
                                  <w:divBdr>
                                    <w:top w:val="none" w:sz="0" w:space="0" w:color="auto"/>
                                    <w:left w:val="none" w:sz="0" w:space="0" w:color="auto"/>
                                    <w:bottom w:val="none" w:sz="0" w:space="0" w:color="auto"/>
                                    <w:right w:val="none" w:sz="0" w:space="0" w:color="auto"/>
                                  </w:divBdr>
                                  <w:divsChild>
                                    <w:div w:id="110712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9763032">
      <w:bodyDiv w:val="1"/>
      <w:marLeft w:val="0"/>
      <w:marRight w:val="0"/>
      <w:marTop w:val="0"/>
      <w:marBottom w:val="0"/>
      <w:divBdr>
        <w:top w:val="none" w:sz="0" w:space="0" w:color="auto"/>
        <w:left w:val="none" w:sz="0" w:space="0" w:color="auto"/>
        <w:bottom w:val="none" w:sz="0" w:space="0" w:color="auto"/>
        <w:right w:val="none" w:sz="0" w:space="0" w:color="auto"/>
      </w:divBdr>
      <w:divsChild>
        <w:div w:id="196889722">
          <w:marLeft w:val="0"/>
          <w:marRight w:val="0"/>
          <w:marTop w:val="120"/>
          <w:marBottom w:val="120"/>
          <w:divBdr>
            <w:top w:val="none" w:sz="0" w:space="0" w:color="auto"/>
            <w:left w:val="none" w:sz="0" w:space="0" w:color="auto"/>
            <w:bottom w:val="none" w:sz="0" w:space="0" w:color="auto"/>
            <w:right w:val="none" w:sz="0" w:space="0" w:color="auto"/>
          </w:divBdr>
        </w:div>
      </w:divsChild>
    </w:div>
    <w:div w:id="126094142">
      <w:bodyDiv w:val="1"/>
      <w:marLeft w:val="0"/>
      <w:marRight w:val="0"/>
      <w:marTop w:val="0"/>
      <w:marBottom w:val="0"/>
      <w:divBdr>
        <w:top w:val="none" w:sz="0" w:space="0" w:color="auto"/>
        <w:left w:val="none" w:sz="0" w:space="0" w:color="auto"/>
        <w:bottom w:val="none" w:sz="0" w:space="0" w:color="auto"/>
        <w:right w:val="none" w:sz="0" w:space="0" w:color="auto"/>
      </w:divBdr>
    </w:div>
    <w:div w:id="130098935">
      <w:bodyDiv w:val="1"/>
      <w:marLeft w:val="0"/>
      <w:marRight w:val="0"/>
      <w:marTop w:val="0"/>
      <w:marBottom w:val="0"/>
      <w:divBdr>
        <w:top w:val="none" w:sz="0" w:space="0" w:color="auto"/>
        <w:left w:val="none" w:sz="0" w:space="0" w:color="auto"/>
        <w:bottom w:val="none" w:sz="0" w:space="0" w:color="auto"/>
        <w:right w:val="none" w:sz="0" w:space="0" w:color="auto"/>
      </w:divBdr>
      <w:divsChild>
        <w:div w:id="793018317">
          <w:marLeft w:val="0"/>
          <w:marRight w:val="0"/>
          <w:marTop w:val="120"/>
          <w:marBottom w:val="120"/>
          <w:divBdr>
            <w:top w:val="none" w:sz="0" w:space="0" w:color="auto"/>
            <w:left w:val="none" w:sz="0" w:space="0" w:color="auto"/>
            <w:bottom w:val="none" w:sz="0" w:space="0" w:color="auto"/>
            <w:right w:val="none" w:sz="0" w:space="0" w:color="auto"/>
          </w:divBdr>
        </w:div>
      </w:divsChild>
    </w:div>
    <w:div w:id="147132742">
      <w:bodyDiv w:val="1"/>
      <w:marLeft w:val="0"/>
      <w:marRight w:val="0"/>
      <w:marTop w:val="0"/>
      <w:marBottom w:val="0"/>
      <w:divBdr>
        <w:top w:val="none" w:sz="0" w:space="0" w:color="auto"/>
        <w:left w:val="none" w:sz="0" w:space="0" w:color="auto"/>
        <w:bottom w:val="none" w:sz="0" w:space="0" w:color="auto"/>
        <w:right w:val="none" w:sz="0" w:space="0" w:color="auto"/>
      </w:divBdr>
    </w:div>
    <w:div w:id="155650685">
      <w:bodyDiv w:val="1"/>
      <w:marLeft w:val="0"/>
      <w:marRight w:val="0"/>
      <w:marTop w:val="0"/>
      <w:marBottom w:val="0"/>
      <w:divBdr>
        <w:top w:val="none" w:sz="0" w:space="0" w:color="auto"/>
        <w:left w:val="none" w:sz="0" w:space="0" w:color="auto"/>
        <w:bottom w:val="none" w:sz="0" w:space="0" w:color="auto"/>
        <w:right w:val="none" w:sz="0" w:space="0" w:color="auto"/>
      </w:divBdr>
    </w:div>
    <w:div w:id="158086544">
      <w:bodyDiv w:val="1"/>
      <w:marLeft w:val="0"/>
      <w:marRight w:val="0"/>
      <w:marTop w:val="0"/>
      <w:marBottom w:val="0"/>
      <w:divBdr>
        <w:top w:val="none" w:sz="0" w:space="0" w:color="auto"/>
        <w:left w:val="none" w:sz="0" w:space="0" w:color="auto"/>
        <w:bottom w:val="none" w:sz="0" w:space="0" w:color="auto"/>
        <w:right w:val="none" w:sz="0" w:space="0" w:color="auto"/>
      </w:divBdr>
    </w:div>
    <w:div w:id="167256385">
      <w:bodyDiv w:val="1"/>
      <w:marLeft w:val="0"/>
      <w:marRight w:val="0"/>
      <w:marTop w:val="0"/>
      <w:marBottom w:val="0"/>
      <w:divBdr>
        <w:top w:val="none" w:sz="0" w:space="0" w:color="auto"/>
        <w:left w:val="none" w:sz="0" w:space="0" w:color="auto"/>
        <w:bottom w:val="none" w:sz="0" w:space="0" w:color="auto"/>
        <w:right w:val="none" w:sz="0" w:space="0" w:color="auto"/>
      </w:divBdr>
    </w:div>
    <w:div w:id="170871634">
      <w:bodyDiv w:val="1"/>
      <w:marLeft w:val="0"/>
      <w:marRight w:val="0"/>
      <w:marTop w:val="0"/>
      <w:marBottom w:val="0"/>
      <w:divBdr>
        <w:top w:val="none" w:sz="0" w:space="0" w:color="auto"/>
        <w:left w:val="none" w:sz="0" w:space="0" w:color="auto"/>
        <w:bottom w:val="none" w:sz="0" w:space="0" w:color="auto"/>
        <w:right w:val="none" w:sz="0" w:space="0" w:color="auto"/>
      </w:divBdr>
    </w:div>
    <w:div w:id="171770107">
      <w:bodyDiv w:val="1"/>
      <w:marLeft w:val="0"/>
      <w:marRight w:val="0"/>
      <w:marTop w:val="0"/>
      <w:marBottom w:val="0"/>
      <w:divBdr>
        <w:top w:val="none" w:sz="0" w:space="0" w:color="auto"/>
        <w:left w:val="none" w:sz="0" w:space="0" w:color="auto"/>
        <w:bottom w:val="none" w:sz="0" w:space="0" w:color="auto"/>
        <w:right w:val="none" w:sz="0" w:space="0" w:color="auto"/>
      </w:divBdr>
    </w:div>
    <w:div w:id="173231090">
      <w:bodyDiv w:val="1"/>
      <w:marLeft w:val="0"/>
      <w:marRight w:val="0"/>
      <w:marTop w:val="0"/>
      <w:marBottom w:val="0"/>
      <w:divBdr>
        <w:top w:val="none" w:sz="0" w:space="0" w:color="auto"/>
        <w:left w:val="none" w:sz="0" w:space="0" w:color="auto"/>
        <w:bottom w:val="none" w:sz="0" w:space="0" w:color="auto"/>
        <w:right w:val="none" w:sz="0" w:space="0" w:color="auto"/>
      </w:divBdr>
      <w:divsChild>
        <w:div w:id="2088571118">
          <w:marLeft w:val="0"/>
          <w:marRight w:val="0"/>
          <w:marTop w:val="120"/>
          <w:marBottom w:val="120"/>
          <w:divBdr>
            <w:top w:val="none" w:sz="0" w:space="0" w:color="auto"/>
            <w:left w:val="none" w:sz="0" w:space="0" w:color="auto"/>
            <w:bottom w:val="none" w:sz="0" w:space="0" w:color="auto"/>
            <w:right w:val="none" w:sz="0" w:space="0" w:color="auto"/>
          </w:divBdr>
        </w:div>
      </w:divsChild>
    </w:div>
    <w:div w:id="189346409">
      <w:bodyDiv w:val="1"/>
      <w:marLeft w:val="0"/>
      <w:marRight w:val="0"/>
      <w:marTop w:val="0"/>
      <w:marBottom w:val="0"/>
      <w:divBdr>
        <w:top w:val="none" w:sz="0" w:space="0" w:color="auto"/>
        <w:left w:val="none" w:sz="0" w:space="0" w:color="auto"/>
        <w:bottom w:val="none" w:sz="0" w:space="0" w:color="auto"/>
        <w:right w:val="none" w:sz="0" w:space="0" w:color="auto"/>
      </w:divBdr>
      <w:divsChild>
        <w:div w:id="27611716">
          <w:marLeft w:val="0"/>
          <w:marRight w:val="0"/>
          <w:marTop w:val="120"/>
          <w:marBottom w:val="120"/>
          <w:divBdr>
            <w:top w:val="none" w:sz="0" w:space="0" w:color="auto"/>
            <w:left w:val="none" w:sz="0" w:space="0" w:color="auto"/>
            <w:bottom w:val="none" w:sz="0" w:space="0" w:color="auto"/>
            <w:right w:val="none" w:sz="0" w:space="0" w:color="auto"/>
          </w:divBdr>
        </w:div>
        <w:div w:id="157355287">
          <w:marLeft w:val="0"/>
          <w:marRight w:val="0"/>
          <w:marTop w:val="120"/>
          <w:marBottom w:val="120"/>
          <w:divBdr>
            <w:top w:val="none" w:sz="0" w:space="0" w:color="auto"/>
            <w:left w:val="none" w:sz="0" w:space="0" w:color="auto"/>
            <w:bottom w:val="none" w:sz="0" w:space="0" w:color="auto"/>
            <w:right w:val="none" w:sz="0" w:space="0" w:color="auto"/>
          </w:divBdr>
        </w:div>
        <w:div w:id="262080559">
          <w:marLeft w:val="0"/>
          <w:marRight w:val="0"/>
          <w:marTop w:val="120"/>
          <w:marBottom w:val="120"/>
          <w:divBdr>
            <w:top w:val="none" w:sz="0" w:space="0" w:color="auto"/>
            <w:left w:val="none" w:sz="0" w:space="0" w:color="auto"/>
            <w:bottom w:val="none" w:sz="0" w:space="0" w:color="auto"/>
            <w:right w:val="none" w:sz="0" w:space="0" w:color="auto"/>
          </w:divBdr>
        </w:div>
        <w:div w:id="452480011">
          <w:marLeft w:val="0"/>
          <w:marRight w:val="0"/>
          <w:marTop w:val="120"/>
          <w:marBottom w:val="120"/>
          <w:divBdr>
            <w:top w:val="none" w:sz="0" w:space="0" w:color="auto"/>
            <w:left w:val="none" w:sz="0" w:space="0" w:color="auto"/>
            <w:bottom w:val="none" w:sz="0" w:space="0" w:color="auto"/>
            <w:right w:val="none" w:sz="0" w:space="0" w:color="auto"/>
          </w:divBdr>
        </w:div>
        <w:div w:id="703940156">
          <w:marLeft w:val="0"/>
          <w:marRight w:val="0"/>
          <w:marTop w:val="120"/>
          <w:marBottom w:val="120"/>
          <w:divBdr>
            <w:top w:val="none" w:sz="0" w:space="0" w:color="auto"/>
            <w:left w:val="none" w:sz="0" w:space="0" w:color="auto"/>
            <w:bottom w:val="none" w:sz="0" w:space="0" w:color="auto"/>
            <w:right w:val="none" w:sz="0" w:space="0" w:color="auto"/>
          </w:divBdr>
        </w:div>
        <w:div w:id="844979165">
          <w:marLeft w:val="0"/>
          <w:marRight w:val="0"/>
          <w:marTop w:val="120"/>
          <w:marBottom w:val="120"/>
          <w:divBdr>
            <w:top w:val="none" w:sz="0" w:space="0" w:color="auto"/>
            <w:left w:val="none" w:sz="0" w:space="0" w:color="auto"/>
            <w:bottom w:val="none" w:sz="0" w:space="0" w:color="auto"/>
            <w:right w:val="none" w:sz="0" w:space="0" w:color="auto"/>
          </w:divBdr>
        </w:div>
        <w:div w:id="866527579">
          <w:marLeft w:val="0"/>
          <w:marRight w:val="0"/>
          <w:marTop w:val="120"/>
          <w:marBottom w:val="120"/>
          <w:divBdr>
            <w:top w:val="none" w:sz="0" w:space="0" w:color="auto"/>
            <w:left w:val="none" w:sz="0" w:space="0" w:color="auto"/>
            <w:bottom w:val="none" w:sz="0" w:space="0" w:color="auto"/>
            <w:right w:val="none" w:sz="0" w:space="0" w:color="auto"/>
          </w:divBdr>
        </w:div>
        <w:div w:id="885412114">
          <w:marLeft w:val="0"/>
          <w:marRight w:val="0"/>
          <w:marTop w:val="120"/>
          <w:marBottom w:val="120"/>
          <w:divBdr>
            <w:top w:val="none" w:sz="0" w:space="0" w:color="auto"/>
            <w:left w:val="none" w:sz="0" w:space="0" w:color="auto"/>
            <w:bottom w:val="none" w:sz="0" w:space="0" w:color="auto"/>
            <w:right w:val="none" w:sz="0" w:space="0" w:color="auto"/>
          </w:divBdr>
        </w:div>
        <w:div w:id="961807077">
          <w:marLeft w:val="0"/>
          <w:marRight w:val="0"/>
          <w:marTop w:val="120"/>
          <w:marBottom w:val="120"/>
          <w:divBdr>
            <w:top w:val="none" w:sz="0" w:space="0" w:color="auto"/>
            <w:left w:val="none" w:sz="0" w:space="0" w:color="auto"/>
            <w:bottom w:val="none" w:sz="0" w:space="0" w:color="auto"/>
            <w:right w:val="none" w:sz="0" w:space="0" w:color="auto"/>
          </w:divBdr>
        </w:div>
        <w:div w:id="1396509638">
          <w:marLeft w:val="0"/>
          <w:marRight w:val="0"/>
          <w:marTop w:val="120"/>
          <w:marBottom w:val="120"/>
          <w:divBdr>
            <w:top w:val="none" w:sz="0" w:space="0" w:color="auto"/>
            <w:left w:val="none" w:sz="0" w:space="0" w:color="auto"/>
            <w:bottom w:val="none" w:sz="0" w:space="0" w:color="auto"/>
            <w:right w:val="none" w:sz="0" w:space="0" w:color="auto"/>
          </w:divBdr>
        </w:div>
        <w:div w:id="1649937480">
          <w:marLeft w:val="0"/>
          <w:marRight w:val="0"/>
          <w:marTop w:val="120"/>
          <w:marBottom w:val="120"/>
          <w:divBdr>
            <w:top w:val="none" w:sz="0" w:space="0" w:color="auto"/>
            <w:left w:val="none" w:sz="0" w:space="0" w:color="auto"/>
            <w:bottom w:val="none" w:sz="0" w:space="0" w:color="auto"/>
            <w:right w:val="none" w:sz="0" w:space="0" w:color="auto"/>
          </w:divBdr>
        </w:div>
        <w:div w:id="1988624876">
          <w:marLeft w:val="0"/>
          <w:marRight w:val="0"/>
          <w:marTop w:val="120"/>
          <w:marBottom w:val="120"/>
          <w:divBdr>
            <w:top w:val="none" w:sz="0" w:space="0" w:color="auto"/>
            <w:left w:val="none" w:sz="0" w:space="0" w:color="auto"/>
            <w:bottom w:val="none" w:sz="0" w:space="0" w:color="auto"/>
            <w:right w:val="none" w:sz="0" w:space="0" w:color="auto"/>
          </w:divBdr>
        </w:div>
      </w:divsChild>
    </w:div>
    <w:div w:id="192958591">
      <w:bodyDiv w:val="1"/>
      <w:marLeft w:val="0"/>
      <w:marRight w:val="0"/>
      <w:marTop w:val="0"/>
      <w:marBottom w:val="0"/>
      <w:divBdr>
        <w:top w:val="none" w:sz="0" w:space="0" w:color="auto"/>
        <w:left w:val="none" w:sz="0" w:space="0" w:color="auto"/>
        <w:bottom w:val="none" w:sz="0" w:space="0" w:color="auto"/>
        <w:right w:val="none" w:sz="0" w:space="0" w:color="auto"/>
      </w:divBdr>
      <w:divsChild>
        <w:div w:id="560752924">
          <w:marLeft w:val="0"/>
          <w:marRight w:val="0"/>
          <w:marTop w:val="120"/>
          <w:marBottom w:val="120"/>
          <w:divBdr>
            <w:top w:val="none" w:sz="0" w:space="0" w:color="auto"/>
            <w:left w:val="none" w:sz="0" w:space="0" w:color="auto"/>
            <w:bottom w:val="none" w:sz="0" w:space="0" w:color="auto"/>
            <w:right w:val="none" w:sz="0" w:space="0" w:color="auto"/>
          </w:divBdr>
        </w:div>
        <w:div w:id="1855073284">
          <w:marLeft w:val="0"/>
          <w:marRight w:val="0"/>
          <w:marTop w:val="120"/>
          <w:marBottom w:val="120"/>
          <w:divBdr>
            <w:top w:val="none" w:sz="0" w:space="0" w:color="auto"/>
            <w:left w:val="none" w:sz="0" w:space="0" w:color="auto"/>
            <w:bottom w:val="none" w:sz="0" w:space="0" w:color="auto"/>
            <w:right w:val="none" w:sz="0" w:space="0" w:color="auto"/>
          </w:divBdr>
        </w:div>
      </w:divsChild>
    </w:div>
    <w:div w:id="194008116">
      <w:bodyDiv w:val="1"/>
      <w:marLeft w:val="0"/>
      <w:marRight w:val="0"/>
      <w:marTop w:val="0"/>
      <w:marBottom w:val="0"/>
      <w:divBdr>
        <w:top w:val="none" w:sz="0" w:space="0" w:color="auto"/>
        <w:left w:val="none" w:sz="0" w:space="0" w:color="auto"/>
        <w:bottom w:val="none" w:sz="0" w:space="0" w:color="auto"/>
        <w:right w:val="none" w:sz="0" w:space="0" w:color="auto"/>
      </w:divBdr>
    </w:div>
    <w:div w:id="195435966">
      <w:bodyDiv w:val="1"/>
      <w:marLeft w:val="0"/>
      <w:marRight w:val="0"/>
      <w:marTop w:val="0"/>
      <w:marBottom w:val="0"/>
      <w:divBdr>
        <w:top w:val="none" w:sz="0" w:space="0" w:color="auto"/>
        <w:left w:val="none" w:sz="0" w:space="0" w:color="auto"/>
        <w:bottom w:val="none" w:sz="0" w:space="0" w:color="auto"/>
        <w:right w:val="none" w:sz="0" w:space="0" w:color="auto"/>
      </w:divBdr>
      <w:divsChild>
        <w:div w:id="162203992">
          <w:marLeft w:val="0"/>
          <w:marRight w:val="0"/>
          <w:marTop w:val="120"/>
          <w:marBottom w:val="120"/>
          <w:divBdr>
            <w:top w:val="none" w:sz="0" w:space="0" w:color="auto"/>
            <w:left w:val="none" w:sz="0" w:space="0" w:color="auto"/>
            <w:bottom w:val="none" w:sz="0" w:space="0" w:color="auto"/>
            <w:right w:val="none" w:sz="0" w:space="0" w:color="auto"/>
          </w:divBdr>
        </w:div>
      </w:divsChild>
    </w:div>
    <w:div w:id="253516016">
      <w:bodyDiv w:val="1"/>
      <w:marLeft w:val="0"/>
      <w:marRight w:val="0"/>
      <w:marTop w:val="0"/>
      <w:marBottom w:val="0"/>
      <w:divBdr>
        <w:top w:val="none" w:sz="0" w:space="0" w:color="auto"/>
        <w:left w:val="none" w:sz="0" w:space="0" w:color="auto"/>
        <w:bottom w:val="none" w:sz="0" w:space="0" w:color="auto"/>
        <w:right w:val="none" w:sz="0" w:space="0" w:color="auto"/>
      </w:divBdr>
      <w:divsChild>
        <w:div w:id="1319765143">
          <w:marLeft w:val="0"/>
          <w:marRight w:val="0"/>
          <w:marTop w:val="120"/>
          <w:marBottom w:val="120"/>
          <w:divBdr>
            <w:top w:val="none" w:sz="0" w:space="0" w:color="auto"/>
            <w:left w:val="none" w:sz="0" w:space="0" w:color="auto"/>
            <w:bottom w:val="none" w:sz="0" w:space="0" w:color="auto"/>
            <w:right w:val="none" w:sz="0" w:space="0" w:color="auto"/>
          </w:divBdr>
        </w:div>
        <w:div w:id="1802645679">
          <w:marLeft w:val="0"/>
          <w:marRight w:val="0"/>
          <w:marTop w:val="120"/>
          <w:marBottom w:val="120"/>
          <w:divBdr>
            <w:top w:val="none" w:sz="0" w:space="0" w:color="auto"/>
            <w:left w:val="none" w:sz="0" w:space="0" w:color="auto"/>
            <w:bottom w:val="none" w:sz="0" w:space="0" w:color="auto"/>
            <w:right w:val="none" w:sz="0" w:space="0" w:color="auto"/>
          </w:divBdr>
        </w:div>
      </w:divsChild>
    </w:div>
    <w:div w:id="264580111">
      <w:bodyDiv w:val="1"/>
      <w:marLeft w:val="0"/>
      <w:marRight w:val="0"/>
      <w:marTop w:val="0"/>
      <w:marBottom w:val="0"/>
      <w:divBdr>
        <w:top w:val="none" w:sz="0" w:space="0" w:color="auto"/>
        <w:left w:val="none" w:sz="0" w:space="0" w:color="auto"/>
        <w:bottom w:val="none" w:sz="0" w:space="0" w:color="auto"/>
        <w:right w:val="none" w:sz="0" w:space="0" w:color="auto"/>
      </w:divBdr>
    </w:div>
    <w:div w:id="265582575">
      <w:bodyDiv w:val="1"/>
      <w:marLeft w:val="0"/>
      <w:marRight w:val="0"/>
      <w:marTop w:val="0"/>
      <w:marBottom w:val="0"/>
      <w:divBdr>
        <w:top w:val="none" w:sz="0" w:space="0" w:color="auto"/>
        <w:left w:val="none" w:sz="0" w:space="0" w:color="auto"/>
        <w:bottom w:val="none" w:sz="0" w:space="0" w:color="auto"/>
        <w:right w:val="none" w:sz="0" w:space="0" w:color="auto"/>
      </w:divBdr>
    </w:div>
    <w:div w:id="267272585">
      <w:bodyDiv w:val="1"/>
      <w:marLeft w:val="0"/>
      <w:marRight w:val="0"/>
      <w:marTop w:val="0"/>
      <w:marBottom w:val="0"/>
      <w:divBdr>
        <w:top w:val="none" w:sz="0" w:space="0" w:color="auto"/>
        <w:left w:val="none" w:sz="0" w:space="0" w:color="auto"/>
        <w:bottom w:val="none" w:sz="0" w:space="0" w:color="auto"/>
        <w:right w:val="none" w:sz="0" w:space="0" w:color="auto"/>
      </w:divBdr>
      <w:divsChild>
        <w:div w:id="1965235069">
          <w:marLeft w:val="0"/>
          <w:marRight w:val="0"/>
          <w:marTop w:val="120"/>
          <w:marBottom w:val="120"/>
          <w:divBdr>
            <w:top w:val="none" w:sz="0" w:space="0" w:color="auto"/>
            <w:left w:val="none" w:sz="0" w:space="0" w:color="auto"/>
            <w:bottom w:val="none" w:sz="0" w:space="0" w:color="auto"/>
            <w:right w:val="none" w:sz="0" w:space="0" w:color="auto"/>
          </w:divBdr>
        </w:div>
      </w:divsChild>
    </w:div>
    <w:div w:id="273564461">
      <w:bodyDiv w:val="1"/>
      <w:marLeft w:val="0"/>
      <w:marRight w:val="0"/>
      <w:marTop w:val="0"/>
      <w:marBottom w:val="0"/>
      <w:divBdr>
        <w:top w:val="none" w:sz="0" w:space="0" w:color="auto"/>
        <w:left w:val="none" w:sz="0" w:space="0" w:color="auto"/>
        <w:bottom w:val="none" w:sz="0" w:space="0" w:color="auto"/>
        <w:right w:val="none" w:sz="0" w:space="0" w:color="auto"/>
      </w:divBdr>
    </w:div>
    <w:div w:id="281352665">
      <w:bodyDiv w:val="1"/>
      <w:marLeft w:val="0"/>
      <w:marRight w:val="0"/>
      <w:marTop w:val="0"/>
      <w:marBottom w:val="0"/>
      <w:divBdr>
        <w:top w:val="none" w:sz="0" w:space="0" w:color="auto"/>
        <w:left w:val="none" w:sz="0" w:space="0" w:color="auto"/>
        <w:bottom w:val="none" w:sz="0" w:space="0" w:color="auto"/>
        <w:right w:val="none" w:sz="0" w:space="0" w:color="auto"/>
      </w:divBdr>
      <w:divsChild>
        <w:div w:id="1971859363">
          <w:marLeft w:val="0"/>
          <w:marRight w:val="0"/>
          <w:marTop w:val="120"/>
          <w:marBottom w:val="120"/>
          <w:divBdr>
            <w:top w:val="none" w:sz="0" w:space="0" w:color="auto"/>
            <w:left w:val="none" w:sz="0" w:space="0" w:color="auto"/>
            <w:bottom w:val="none" w:sz="0" w:space="0" w:color="auto"/>
            <w:right w:val="none" w:sz="0" w:space="0" w:color="auto"/>
          </w:divBdr>
        </w:div>
      </w:divsChild>
    </w:div>
    <w:div w:id="297347656">
      <w:bodyDiv w:val="1"/>
      <w:marLeft w:val="0"/>
      <w:marRight w:val="0"/>
      <w:marTop w:val="0"/>
      <w:marBottom w:val="0"/>
      <w:divBdr>
        <w:top w:val="none" w:sz="0" w:space="0" w:color="auto"/>
        <w:left w:val="none" w:sz="0" w:space="0" w:color="auto"/>
        <w:bottom w:val="none" w:sz="0" w:space="0" w:color="auto"/>
        <w:right w:val="none" w:sz="0" w:space="0" w:color="auto"/>
      </w:divBdr>
      <w:divsChild>
        <w:div w:id="1202131875">
          <w:marLeft w:val="0"/>
          <w:marRight w:val="0"/>
          <w:marTop w:val="120"/>
          <w:marBottom w:val="120"/>
          <w:divBdr>
            <w:top w:val="none" w:sz="0" w:space="0" w:color="auto"/>
            <w:left w:val="none" w:sz="0" w:space="0" w:color="auto"/>
            <w:bottom w:val="none" w:sz="0" w:space="0" w:color="auto"/>
            <w:right w:val="none" w:sz="0" w:space="0" w:color="auto"/>
          </w:divBdr>
        </w:div>
        <w:div w:id="1866746555">
          <w:marLeft w:val="0"/>
          <w:marRight w:val="0"/>
          <w:marTop w:val="120"/>
          <w:marBottom w:val="120"/>
          <w:divBdr>
            <w:top w:val="none" w:sz="0" w:space="0" w:color="auto"/>
            <w:left w:val="none" w:sz="0" w:space="0" w:color="auto"/>
            <w:bottom w:val="none" w:sz="0" w:space="0" w:color="auto"/>
            <w:right w:val="none" w:sz="0" w:space="0" w:color="auto"/>
          </w:divBdr>
        </w:div>
      </w:divsChild>
    </w:div>
    <w:div w:id="306596193">
      <w:bodyDiv w:val="1"/>
      <w:marLeft w:val="0"/>
      <w:marRight w:val="0"/>
      <w:marTop w:val="0"/>
      <w:marBottom w:val="0"/>
      <w:divBdr>
        <w:top w:val="none" w:sz="0" w:space="0" w:color="auto"/>
        <w:left w:val="none" w:sz="0" w:space="0" w:color="auto"/>
        <w:bottom w:val="none" w:sz="0" w:space="0" w:color="auto"/>
        <w:right w:val="none" w:sz="0" w:space="0" w:color="auto"/>
      </w:divBdr>
    </w:div>
    <w:div w:id="315453533">
      <w:bodyDiv w:val="1"/>
      <w:marLeft w:val="0"/>
      <w:marRight w:val="0"/>
      <w:marTop w:val="0"/>
      <w:marBottom w:val="0"/>
      <w:divBdr>
        <w:top w:val="none" w:sz="0" w:space="0" w:color="auto"/>
        <w:left w:val="none" w:sz="0" w:space="0" w:color="auto"/>
        <w:bottom w:val="none" w:sz="0" w:space="0" w:color="auto"/>
        <w:right w:val="none" w:sz="0" w:space="0" w:color="auto"/>
      </w:divBdr>
      <w:divsChild>
        <w:div w:id="91247439">
          <w:marLeft w:val="0"/>
          <w:marRight w:val="0"/>
          <w:marTop w:val="120"/>
          <w:marBottom w:val="120"/>
          <w:divBdr>
            <w:top w:val="none" w:sz="0" w:space="0" w:color="auto"/>
            <w:left w:val="none" w:sz="0" w:space="0" w:color="auto"/>
            <w:bottom w:val="none" w:sz="0" w:space="0" w:color="auto"/>
            <w:right w:val="none" w:sz="0" w:space="0" w:color="auto"/>
          </w:divBdr>
        </w:div>
      </w:divsChild>
    </w:div>
    <w:div w:id="333806338">
      <w:bodyDiv w:val="1"/>
      <w:marLeft w:val="0"/>
      <w:marRight w:val="0"/>
      <w:marTop w:val="0"/>
      <w:marBottom w:val="0"/>
      <w:divBdr>
        <w:top w:val="none" w:sz="0" w:space="0" w:color="auto"/>
        <w:left w:val="none" w:sz="0" w:space="0" w:color="auto"/>
        <w:bottom w:val="none" w:sz="0" w:space="0" w:color="auto"/>
        <w:right w:val="none" w:sz="0" w:space="0" w:color="auto"/>
      </w:divBdr>
    </w:div>
    <w:div w:id="334307538">
      <w:bodyDiv w:val="1"/>
      <w:marLeft w:val="0"/>
      <w:marRight w:val="0"/>
      <w:marTop w:val="0"/>
      <w:marBottom w:val="0"/>
      <w:divBdr>
        <w:top w:val="none" w:sz="0" w:space="0" w:color="auto"/>
        <w:left w:val="none" w:sz="0" w:space="0" w:color="auto"/>
        <w:bottom w:val="none" w:sz="0" w:space="0" w:color="auto"/>
        <w:right w:val="none" w:sz="0" w:space="0" w:color="auto"/>
      </w:divBdr>
    </w:div>
    <w:div w:id="340277659">
      <w:bodyDiv w:val="1"/>
      <w:marLeft w:val="0"/>
      <w:marRight w:val="0"/>
      <w:marTop w:val="0"/>
      <w:marBottom w:val="0"/>
      <w:divBdr>
        <w:top w:val="none" w:sz="0" w:space="0" w:color="auto"/>
        <w:left w:val="none" w:sz="0" w:space="0" w:color="auto"/>
        <w:bottom w:val="none" w:sz="0" w:space="0" w:color="auto"/>
        <w:right w:val="none" w:sz="0" w:space="0" w:color="auto"/>
      </w:divBdr>
    </w:div>
    <w:div w:id="341401977">
      <w:bodyDiv w:val="1"/>
      <w:marLeft w:val="0"/>
      <w:marRight w:val="0"/>
      <w:marTop w:val="0"/>
      <w:marBottom w:val="0"/>
      <w:divBdr>
        <w:top w:val="none" w:sz="0" w:space="0" w:color="auto"/>
        <w:left w:val="none" w:sz="0" w:space="0" w:color="auto"/>
        <w:bottom w:val="none" w:sz="0" w:space="0" w:color="auto"/>
        <w:right w:val="none" w:sz="0" w:space="0" w:color="auto"/>
      </w:divBdr>
    </w:div>
    <w:div w:id="348722808">
      <w:bodyDiv w:val="1"/>
      <w:marLeft w:val="0"/>
      <w:marRight w:val="0"/>
      <w:marTop w:val="0"/>
      <w:marBottom w:val="0"/>
      <w:divBdr>
        <w:top w:val="none" w:sz="0" w:space="0" w:color="auto"/>
        <w:left w:val="none" w:sz="0" w:space="0" w:color="auto"/>
        <w:bottom w:val="none" w:sz="0" w:space="0" w:color="auto"/>
        <w:right w:val="none" w:sz="0" w:space="0" w:color="auto"/>
      </w:divBdr>
      <w:divsChild>
        <w:div w:id="86539957">
          <w:marLeft w:val="0"/>
          <w:marRight w:val="0"/>
          <w:marTop w:val="120"/>
          <w:marBottom w:val="120"/>
          <w:divBdr>
            <w:top w:val="none" w:sz="0" w:space="0" w:color="auto"/>
            <w:left w:val="none" w:sz="0" w:space="0" w:color="auto"/>
            <w:bottom w:val="none" w:sz="0" w:space="0" w:color="auto"/>
            <w:right w:val="none" w:sz="0" w:space="0" w:color="auto"/>
          </w:divBdr>
        </w:div>
      </w:divsChild>
    </w:div>
    <w:div w:id="350307049">
      <w:bodyDiv w:val="1"/>
      <w:marLeft w:val="0"/>
      <w:marRight w:val="0"/>
      <w:marTop w:val="0"/>
      <w:marBottom w:val="0"/>
      <w:divBdr>
        <w:top w:val="none" w:sz="0" w:space="0" w:color="auto"/>
        <w:left w:val="none" w:sz="0" w:space="0" w:color="auto"/>
        <w:bottom w:val="none" w:sz="0" w:space="0" w:color="auto"/>
        <w:right w:val="none" w:sz="0" w:space="0" w:color="auto"/>
      </w:divBdr>
      <w:divsChild>
        <w:div w:id="2060780761">
          <w:marLeft w:val="0"/>
          <w:marRight w:val="0"/>
          <w:marTop w:val="0"/>
          <w:marBottom w:val="0"/>
          <w:divBdr>
            <w:top w:val="none" w:sz="0" w:space="0" w:color="auto"/>
            <w:left w:val="none" w:sz="0" w:space="0" w:color="auto"/>
            <w:bottom w:val="none" w:sz="0" w:space="0" w:color="auto"/>
            <w:right w:val="none" w:sz="0" w:space="0" w:color="auto"/>
          </w:divBdr>
          <w:divsChild>
            <w:div w:id="1734547894">
              <w:marLeft w:val="0"/>
              <w:marRight w:val="0"/>
              <w:marTop w:val="0"/>
              <w:marBottom w:val="0"/>
              <w:divBdr>
                <w:top w:val="none" w:sz="0" w:space="0" w:color="auto"/>
                <w:left w:val="none" w:sz="0" w:space="0" w:color="auto"/>
                <w:bottom w:val="none" w:sz="0" w:space="0" w:color="auto"/>
                <w:right w:val="none" w:sz="0" w:space="0" w:color="auto"/>
              </w:divBdr>
              <w:divsChild>
                <w:div w:id="2118792121">
                  <w:marLeft w:val="0"/>
                  <w:marRight w:val="0"/>
                  <w:marTop w:val="0"/>
                  <w:marBottom w:val="0"/>
                  <w:divBdr>
                    <w:top w:val="none" w:sz="0" w:space="0" w:color="auto"/>
                    <w:left w:val="none" w:sz="0" w:space="0" w:color="auto"/>
                    <w:bottom w:val="none" w:sz="0" w:space="0" w:color="auto"/>
                    <w:right w:val="none" w:sz="0" w:space="0" w:color="auto"/>
                  </w:divBdr>
                  <w:divsChild>
                    <w:div w:id="921373820">
                      <w:marLeft w:val="0"/>
                      <w:marRight w:val="0"/>
                      <w:marTop w:val="0"/>
                      <w:marBottom w:val="0"/>
                      <w:divBdr>
                        <w:top w:val="none" w:sz="0" w:space="0" w:color="auto"/>
                        <w:left w:val="none" w:sz="0" w:space="0" w:color="auto"/>
                        <w:bottom w:val="none" w:sz="0" w:space="0" w:color="auto"/>
                        <w:right w:val="none" w:sz="0" w:space="0" w:color="auto"/>
                      </w:divBdr>
                      <w:divsChild>
                        <w:div w:id="346686799">
                          <w:marLeft w:val="0"/>
                          <w:marRight w:val="0"/>
                          <w:marTop w:val="0"/>
                          <w:marBottom w:val="0"/>
                          <w:divBdr>
                            <w:top w:val="none" w:sz="0" w:space="0" w:color="auto"/>
                            <w:left w:val="none" w:sz="0" w:space="0" w:color="auto"/>
                            <w:bottom w:val="none" w:sz="0" w:space="0" w:color="auto"/>
                            <w:right w:val="none" w:sz="0" w:space="0" w:color="auto"/>
                          </w:divBdr>
                          <w:divsChild>
                            <w:div w:id="169102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51028810">
      <w:bodyDiv w:val="1"/>
      <w:marLeft w:val="0"/>
      <w:marRight w:val="0"/>
      <w:marTop w:val="0"/>
      <w:marBottom w:val="0"/>
      <w:divBdr>
        <w:top w:val="none" w:sz="0" w:space="0" w:color="auto"/>
        <w:left w:val="none" w:sz="0" w:space="0" w:color="auto"/>
        <w:bottom w:val="none" w:sz="0" w:space="0" w:color="auto"/>
        <w:right w:val="none" w:sz="0" w:space="0" w:color="auto"/>
      </w:divBdr>
    </w:div>
    <w:div w:id="362747894">
      <w:bodyDiv w:val="1"/>
      <w:marLeft w:val="0"/>
      <w:marRight w:val="0"/>
      <w:marTop w:val="0"/>
      <w:marBottom w:val="0"/>
      <w:divBdr>
        <w:top w:val="none" w:sz="0" w:space="0" w:color="auto"/>
        <w:left w:val="none" w:sz="0" w:space="0" w:color="auto"/>
        <w:bottom w:val="none" w:sz="0" w:space="0" w:color="auto"/>
        <w:right w:val="none" w:sz="0" w:space="0" w:color="auto"/>
      </w:divBdr>
    </w:div>
    <w:div w:id="384531615">
      <w:bodyDiv w:val="1"/>
      <w:marLeft w:val="0"/>
      <w:marRight w:val="0"/>
      <w:marTop w:val="0"/>
      <w:marBottom w:val="0"/>
      <w:divBdr>
        <w:top w:val="none" w:sz="0" w:space="0" w:color="auto"/>
        <w:left w:val="none" w:sz="0" w:space="0" w:color="auto"/>
        <w:bottom w:val="none" w:sz="0" w:space="0" w:color="auto"/>
        <w:right w:val="none" w:sz="0" w:space="0" w:color="auto"/>
      </w:divBdr>
      <w:divsChild>
        <w:div w:id="1088498978">
          <w:marLeft w:val="0"/>
          <w:marRight w:val="0"/>
          <w:marTop w:val="0"/>
          <w:marBottom w:val="0"/>
          <w:divBdr>
            <w:top w:val="none" w:sz="0" w:space="0" w:color="auto"/>
            <w:left w:val="none" w:sz="0" w:space="0" w:color="auto"/>
            <w:bottom w:val="none" w:sz="0" w:space="0" w:color="auto"/>
            <w:right w:val="none" w:sz="0" w:space="0" w:color="auto"/>
          </w:divBdr>
          <w:divsChild>
            <w:div w:id="326633060">
              <w:marLeft w:val="0"/>
              <w:marRight w:val="0"/>
              <w:marTop w:val="0"/>
              <w:marBottom w:val="0"/>
              <w:divBdr>
                <w:top w:val="none" w:sz="0" w:space="0" w:color="auto"/>
                <w:left w:val="none" w:sz="0" w:space="0" w:color="auto"/>
                <w:bottom w:val="none" w:sz="0" w:space="0" w:color="auto"/>
                <w:right w:val="none" w:sz="0" w:space="0" w:color="auto"/>
              </w:divBdr>
              <w:divsChild>
                <w:div w:id="760372901">
                  <w:marLeft w:val="0"/>
                  <w:marRight w:val="0"/>
                  <w:marTop w:val="0"/>
                  <w:marBottom w:val="0"/>
                  <w:divBdr>
                    <w:top w:val="none" w:sz="0" w:space="0" w:color="auto"/>
                    <w:left w:val="none" w:sz="0" w:space="0" w:color="auto"/>
                    <w:bottom w:val="none" w:sz="0" w:space="0" w:color="auto"/>
                    <w:right w:val="none" w:sz="0" w:space="0" w:color="auto"/>
                  </w:divBdr>
                  <w:divsChild>
                    <w:div w:id="1140264592">
                      <w:marLeft w:val="0"/>
                      <w:marRight w:val="0"/>
                      <w:marTop w:val="0"/>
                      <w:marBottom w:val="0"/>
                      <w:divBdr>
                        <w:top w:val="none" w:sz="0" w:space="0" w:color="auto"/>
                        <w:left w:val="none" w:sz="0" w:space="0" w:color="auto"/>
                        <w:bottom w:val="none" w:sz="0" w:space="0" w:color="auto"/>
                        <w:right w:val="none" w:sz="0" w:space="0" w:color="auto"/>
                      </w:divBdr>
                      <w:divsChild>
                        <w:div w:id="1903903227">
                          <w:marLeft w:val="0"/>
                          <w:marRight w:val="0"/>
                          <w:marTop w:val="0"/>
                          <w:marBottom w:val="0"/>
                          <w:divBdr>
                            <w:top w:val="none" w:sz="0" w:space="0" w:color="auto"/>
                            <w:left w:val="none" w:sz="0" w:space="0" w:color="auto"/>
                            <w:bottom w:val="none" w:sz="0" w:space="0" w:color="auto"/>
                            <w:right w:val="none" w:sz="0" w:space="0" w:color="auto"/>
                          </w:divBdr>
                          <w:divsChild>
                            <w:div w:id="599066594">
                              <w:marLeft w:val="0"/>
                              <w:marRight w:val="0"/>
                              <w:marTop w:val="0"/>
                              <w:marBottom w:val="0"/>
                              <w:divBdr>
                                <w:top w:val="none" w:sz="0" w:space="0" w:color="auto"/>
                                <w:left w:val="none" w:sz="0" w:space="0" w:color="auto"/>
                                <w:bottom w:val="none" w:sz="0" w:space="0" w:color="auto"/>
                                <w:right w:val="none" w:sz="0" w:space="0" w:color="auto"/>
                              </w:divBdr>
                              <w:divsChild>
                                <w:div w:id="225410475">
                                  <w:marLeft w:val="0"/>
                                  <w:marRight w:val="0"/>
                                  <w:marTop w:val="0"/>
                                  <w:marBottom w:val="0"/>
                                  <w:divBdr>
                                    <w:top w:val="none" w:sz="0" w:space="0" w:color="auto"/>
                                    <w:left w:val="none" w:sz="0" w:space="0" w:color="auto"/>
                                    <w:bottom w:val="none" w:sz="0" w:space="0" w:color="auto"/>
                                    <w:right w:val="none" w:sz="0" w:space="0" w:color="auto"/>
                                  </w:divBdr>
                                  <w:divsChild>
                                    <w:div w:id="626860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86688980">
      <w:bodyDiv w:val="1"/>
      <w:marLeft w:val="0"/>
      <w:marRight w:val="0"/>
      <w:marTop w:val="0"/>
      <w:marBottom w:val="0"/>
      <w:divBdr>
        <w:top w:val="none" w:sz="0" w:space="0" w:color="auto"/>
        <w:left w:val="none" w:sz="0" w:space="0" w:color="auto"/>
        <w:bottom w:val="none" w:sz="0" w:space="0" w:color="auto"/>
        <w:right w:val="none" w:sz="0" w:space="0" w:color="auto"/>
      </w:divBdr>
      <w:divsChild>
        <w:div w:id="1429304742">
          <w:marLeft w:val="0"/>
          <w:marRight w:val="0"/>
          <w:marTop w:val="120"/>
          <w:marBottom w:val="120"/>
          <w:divBdr>
            <w:top w:val="none" w:sz="0" w:space="0" w:color="auto"/>
            <w:left w:val="none" w:sz="0" w:space="0" w:color="auto"/>
            <w:bottom w:val="none" w:sz="0" w:space="0" w:color="auto"/>
            <w:right w:val="none" w:sz="0" w:space="0" w:color="auto"/>
          </w:divBdr>
        </w:div>
      </w:divsChild>
    </w:div>
    <w:div w:id="408161378">
      <w:bodyDiv w:val="1"/>
      <w:marLeft w:val="0"/>
      <w:marRight w:val="0"/>
      <w:marTop w:val="0"/>
      <w:marBottom w:val="0"/>
      <w:divBdr>
        <w:top w:val="none" w:sz="0" w:space="0" w:color="auto"/>
        <w:left w:val="none" w:sz="0" w:space="0" w:color="auto"/>
        <w:bottom w:val="none" w:sz="0" w:space="0" w:color="auto"/>
        <w:right w:val="none" w:sz="0" w:space="0" w:color="auto"/>
      </w:divBdr>
      <w:divsChild>
        <w:div w:id="1357468722">
          <w:marLeft w:val="0"/>
          <w:marRight w:val="0"/>
          <w:marTop w:val="120"/>
          <w:marBottom w:val="120"/>
          <w:divBdr>
            <w:top w:val="none" w:sz="0" w:space="0" w:color="auto"/>
            <w:left w:val="none" w:sz="0" w:space="0" w:color="auto"/>
            <w:bottom w:val="none" w:sz="0" w:space="0" w:color="auto"/>
            <w:right w:val="none" w:sz="0" w:space="0" w:color="auto"/>
          </w:divBdr>
        </w:div>
      </w:divsChild>
    </w:div>
    <w:div w:id="414743674">
      <w:bodyDiv w:val="1"/>
      <w:marLeft w:val="0"/>
      <w:marRight w:val="0"/>
      <w:marTop w:val="0"/>
      <w:marBottom w:val="0"/>
      <w:divBdr>
        <w:top w:val="none" w:sz="0" w:space="0" w:color="auto"/>
        <w:left w:val="none" w:sz="0" w:space="0" w:color="auto"/>
        <w:bottom w:val="none" w:sz="0" w:space="0" w:color="auto"/>
        <w:right w:val="none" w:sz="0" w:space="0" w:color="auto"/>
      </w:divBdr>
    </w:div>
    <w:div w:id="420302241">
      <w:bodyDiv w:val="1"/>
      <w:marLeft w:val="0"/>
      <w:marRight w:val="0"/>
      <w:marTop w:val="0"/>
      <w:marBottom w:val="0"/>
      <w:divBdr>
        <w:top w:val="none" w:sz="0" w:space="0" w:color="auto"/>
        <w:left w:val="none" w:sz="0" w:space="0" w:color="auto"/>
        <w:bottom w:val="none" w:sz="0" w:space="0" w:color="auto"/>
        <w:right w:val="none" w:sz="0" w:space="0" w:color="auto"/>
      </w:divBdr>
    </w:div>
    <w:div w:id="431778163">
      <w:bodyDiv w:val="1"/>
      <w:marLeft w:val="0"/>
      <w:marRight w:val="0"/>
      <w:marTop w:val="0"/>
      <w:marBottom w:val="0"/>
      <w:divBdr>
        <w:top w:val="none" w:sz="0" w:space="0" w:color="auto"/>
        <w:left w:val="none" w:sz="0" w:space="0" w:color="auto"/>
        <w:bottom w:val="none" w:sz="0" w:space="0" w:color="auto"/>
        <w:right w:val="none" w:sz="0" w:space="0" w:color="auto"/>
      </w:divBdr>
    </w:div>
    <w:div w:id="432676861">
      <w:bodyDiv w:val="1"/>
      <w:marLeft w:val="0"/>
      <w:marRight w:val="0"/>
      <w:marTop w:val="0"/>
      <w:marBottom w:val="0"/>
      <w:divBdr>
        <w:top w:val="none" w:sz="0" w:space="0" w:color="auto"/>
        <w:left w:val="none" w:sz="0" w:space="0" w:color="auto"/>
        <w:bottom w:val="none" w:sz="0" w:space="0" w:color="auto"/>
        <w:right w:val="none" w:sz="0" w:space="0" w:color="auto"/>
      </w:divBdr>
      <w:divsChild>
        <w:div w:id="280379801">
          <w:marLeft w:val="0"/>
          <w:marRight w:val="0"/>
          <w:marTop w:val="120"/>
          <w:marBottom w:val="120"/>
          <w:divBdr>
            <w:top w:val="none" w:sz="0" w:space="0" w:color="auto"/>
            <w:left w:val="none" w:sz="0" w:space="0" w:color="auto"/>
            <w:bottom w:val="none" w:sz="0" w:space="0" w:color="auto"/>
            <w:right w:val="none" w:sz="0" w:space="0" w:color="auto"/>
          </w:divBdr>
        </w:div>
      </w:divsChild>
    </w:div>
    <w:div w:id="438721157">
      <w:bodyDiv w:val="1"/>
      <w:marLeft w:val="0"/>
      <w:marRight w:val="0"/>
      <w:marTop w:val="0"/>
      <w:marBottom w:val="0"/>
      <w:divBdr>
        <w:top w:val="none" w:sz="0" w:space="0" w:color="auto"/>
        <w:left w:val="none" w:sz="0" w:space="0" w:color="auto"/>
        <w:bottom w:val="none" w:sz="0" w:space="0" w:color="auto"/>
        <w:right w:val="none" w:sz="0" w:space="0" w:color="auto"/>
      </w:divBdr>
    </w:div>
    <w:div w:id="439375171">
      <w:bodyDiv w:val="1"/>
      <w:marLeft w:val="0"/>
      <w:marRight w:val="0"/>
      <w:marTop w:val="0"/>
      <w:marBottom w:val="0"/>
      <w:divBdr>
        <w:top w:val="none" w:sz="0" w:space="0" w:color="auto"/>
        <w:left w:val="none" w:sz="0" w:space="0" w:color="auto"/>
        <w:bottom w:val="none" w:sz="0" w:space="0" w:color="auto"/>
        <w:right w:val="none" w:sz="0" w:space="0" w:color="auto"/>
      </w:divBdr>
    </w:div>
    <w:div w:id="440106546">
      <w:bodyDiv w:val="1"/>
      <w:marLeft w:val="0"/>
      <w:marRight w:val="0"/>
      <w:marTop w:val="0"/>
      <w:marBottom w:val="0"/>
      <w:divBdr>
        <w:top w:val="none" w:sz="0" w:space="0" w:color="auto"/>
        <w:left w:val="none" w:sz="0" w:space="0" w:color="auto"/>
        <w:bottom w:val="none" w:sz="0" w:space="0" w:color="auto"/>
        <w:right w:val="none" w:sz="0" w:space="0" w:color="auto"/>
      </w:divBdr>
    </w:div>
    <w:div w:id="441458844">
      <w:bodyDiv w:val="1"/>
      <w:marLeft w:val="0"/>
      <w:marRight w:val="0"/>
      <w:marTop w:val="0"/>
      <w:marBottom w:val="0"/>
      <w:divBdr>
        <w:top w:val="none" w:sz="0" w:space="0" w:color="auto"/>
        <w:left w:val="none" w:sz="0" w:space="0" w:color="auto"/>
        <w:bottom w:val="none" w:sz="0" w:space="0" w:color="auto"/>
        <w:right w:val="none" w:sz="0" w:space="0" w:color="auto"/>
      </w:divBdr>
    </w:div>
    <w:div w:id="449662730">
      <w:bodyDiv w:val="1"/>
      <w:marLeft w:val="0"/>
      <w:marRight w:val="0"/>
      <w:marTop w:val="0"/>
      <w:marBottom w:val="0"/>
      <w:divBdr>
        <w:top w:val="none" w:sz="0" w:space="0" w:color="auto"/>
        <w:left w:val="none" w:sz="0" w:space="0" w:color="auto"/>
        <w:bottom w:val="none" w:sz="0" w:space="0" w:color="auto"/>
        <w:right w:val="none" w:sz="0" w:space="0" w:color="auto"/>
      </w:divBdr>
    </w:div>
    <w:div w:id="458568226">
      <w:bodyDiv w:val="1"/>
      <w:marLeft w:val="0"/>
      <w:marRight w:val="0"/>
      <w:marTop w:val="0"/>
      <w:marBottom w:val="0"/>
      <w:divBdr>
        <w:top w:val="none" w:sz="0" w:space="0" w:color="auto"/>
        <w:left w:val="none" w:sz="0" w:space="0" w:color="auto"/>
        <w:bottom w:val="none" w:sz="0" w:space="0" w:color="auto"/>
        <w:right w:val="none" w:sz="0" w:space="0" w:color="auto"/>
      </w:divBdr>
      <w:divsChild>
        <w:div w:id="1364594773">
          <w:marLeft w:val="0"/>
          <w:marRight w:val="0"/>
          <w:marTop w:val="120"/>
          <w:marBottom w:val="120"/>
          <w:divBdr>
            <w:top w:val="none" w:sz="0" w:space="0" w:color="auto"/>
            <w:left w:val="none" w:sz="0" w:space="0" w:color="auto"/>
            <w:bottom w:val="none" w:sz="0" w:space="0" w:color="auto"/>
            <w:right w:val="none" w:sz="0" w:space="0" w:color="auto"/>
          </w:divBdr>
        </w:div>
      </w:divsChild>
    </w:div>
    <w:div w:id="461073178">
      <w:bodyDiv w:val="1"/>
      <w:marLeft w:val="0"/>
      <w:marRight w:val="0"/>
      <w:marTop w:val="0"/>
      <w:marBottom w:val="0"/>
      <w:divBdr>
        <w:top w:val="none" w:sz="0" w:space="0" w:color="auto"/>
        <w:left w:val="none" w:sz="0" w:space="0" w:color="auto"/>
        <w:bottom w:val="none" w:sz="0" w:space="0" w:color="auto"/>
        <w:right w:val="none" w:sz="0" w:space="0" w:color="auto"/>
      </w:divBdr>
      <w:divsChild>
        <w:div w:id="1020930987">
          <w:marLeft w:val="0"/>
          <w:marRight w:val="0"/>
          <w:marTop w:val="120"/>
          <w:marBottom w:val="120"/>
          <w:divBdr>
            <w:top w:val="none" w:sz="0" w:space="0" w:color="auto"/>
            <w:left w:val="none" w:sz="0" w:space="0" w:color="auto"/>
            <w:bottom w:val="none" w:sz="0" w:space="0" w:color="auto"/>
            <w:right w:val="none" w:sz="0" w:space="0" w:color="auto"/>
          </w:divBdr>
        </w:div>
        <w:div w:id="1284383488">
          <w:marLeft w:val="0"/>
          <w:marRight w:val="0"/>
          <w:marTop w:val="120"/>
          <w:marBottom w:val="120"/>
          <w:divBdr>
            <w:top w:val="none" w:sz="0" w:space="0" w:color="auto"/>
            <w:left w:val="none" w:sz="0" w:space="0" w:color="auto"/>
            <w:bottom w:val="none" w:sz="0" w:space="0" w:color="auto"/>
            <w:right w:val="none" w:sz="0" w:space="0" w:color="auto"/>
          </w:divBdr>
        </w:div>
        <w:div w:id="1326082263">
          <w:marLeft w:val="0"/>
          <w:marRight w:val="0"/>
          <w:marTop w:val="120"/>
          <w:marBottom w:val="120"/>
          <w:divBdr>
            <w:top w:val="none" w:sz="0" w:space="0" w:color="auto"/>
            <w:left w:val="none" w:sz="0" w:space="0" w:color="auto"/>
            <w:bottom w:val="none" w:sz="0" w:space="0" w:color="auto"/>
            <w:right w:val="none" w:sz="0" w:space="0" w:color="auto"/>
          </w:divBdr>
        </w:div>
      </w:divsChild>
    </w:div>
    <w:div w:id="462502945">
      <w:bodyDiv w:val="1"/>
      <w:marLeft w:val="0"/>
      <w:marRight w:val="0"/>
      <w:marTop w:val="0"/>
      <w:marBottom w:val="0"/>
      <w:divBdr>
        <w:top w:val="none" w:sz="0" w:space="0" w:color="auto"/>
        <w:left w:val="none" w:sz="0" w:space="0" w:color="auto"/>
        <w:bottom w:val="none" w:sz="0" w:space="0" w:color="auto"/>
        <w:right w:val="none" w:sz="0" w:space="0" w:color="auto"/>
      </w:divBdr>
    </w:div>
    <w:div w:id="477260504">
      <w:bodyDiv w:val="1"/>
      <w:marLeft w:val="0"/>
      <w:marRight w:val="0"/>
      <w:marTop w:val="0"/>
      <w:marBottom w:val="0"/>
      <w:divBdr>
        <w:top w:val="none" w:sz="0" w:space="0" w:color="auto"/>
        <w:left w:val="none" w:sz="0" w:space="0" w:color="auto"/>
        <w:bottom w:val="none" w:sz="0" w:space="0" w:color="auto"/>
        <w:right w:val="none" w:sz="0" w:space="0" w:color="auto"/>
      </w:divBdr>
    </w:div>
    <w:div w:id="492725006">
      <w:bodyDiv w:val="1"/>
      <w:marLeft w:val="0"/>
      <w:marRight w:val="0"/>
      <w:marTop w:val="0"/>
      <w:marBottom w:val="0"/>
      <w:divBdr>
        <w:top w:val="none" w:sz="0" w:space="0" w:color="auto"/>
        <w:left w:val="none" w:sz="0" w:space="0" w:color="auto"/>
        <w:bottom w:val="none" w:sz="0" w:space="0" w:color="auto"/>
        <w:right w:val="none" w:sz="0" w:space="0" w:color="auto"/>
      </w:divBdr>
    </w:div>
    <w:div w:id="499582278">
      <w:bodyDiv w:val="1"/>
      <w:marLeft w:val="0"/>
      <w:marRight w:val="0"/>
      <w:marTop w:val="0"/>
      <w:marBottom w:val="0"/>
      <w:divBdr>
        <w:top w:val="none" w:sz="0" w:space="0" w:color="auto"/>
        <w:left w:val="none" w:sz="0" w:space="0" w:color="auto"/>
        <w:bottom w:val="none" w:sz="0" w:space="0" w:color="auto"/>
        <w:right w:val="none" w:sz="0" w:space="0" w:color="auto"/>
      </w:divBdr>
      <w:divsChild>
        <w:div w:id="1227843272">
          <w:marLeft w:val="0"/>
          <w:marRight w:val="0"/>
          <w:marTop w:val="0"/>
          <w:marBottom w:val="0"/>
          <w:divBdr>
            <w:top w:val="none" w:sz="0" w:space="0" w:color="auto"/>
            <w:left w:val="none" w:sz="0" w:space="0" w:color="auto"/>
            <w:bottom w:val="none" w:sz="0" w:space="0" w:color="auto"/>
            <w:right w:val="none" w:sz="0" w:space="0" w:color="auto"/>
          </w:divBdr>
          <w:divsChild>
            <w:div w:id="253900736">
              <w:marLeft w:val="0"/>
              <w:marRight w:val="0"/>
              <w:marTop w:val="0"/>
              <w:marBottom w:val="0"/>
              <w:divBdr>
                <w:top w:val="none" w:sz="0" w:space="0" w:color="auto"/>
                <w:left w:val="none" w:sz="0" w:space="0" w:color="auto"/>
                <w:bottom w:val="none" w:sz="0" w:space="0" w:color="auto"/>
                <w:right w:val="none" w:sz="0" w:space="0" w:color="auto"/>
              </w:divBdr>
              <w:divsChild>
                <w:div w:id="1700207124">
                  <w:marLeft w:val="0"/>
                  <w:marRight w:val="0"/>
                  <w:marTop w:val="0"/>
                  <w:marBottom w:val="0"/>
                  <w:divBdr>
                    <w:top w:val="none" w:sz="0" w:space="0" w:color="auto"/>
                    <w:left w:val="none" w:sz="0" w:space="0" w:color="auto"/>
                    <w:bottom w:val="none" w:sz="0" w:space="0" w:color="auto"/>
                    <w:right w:val="none" w:sz="0" w:space="0" w:color="auto"/>
                  </w:divBdr>
                  <w:divsChild>
                    <w:div w:id="127169917">
                      <w:marLeft w:val="0"/>
                      <w:marRight w:val="0"/>
                      <w:marTop w:val="0"/>
                      <w:marBottom w:val="0"/>
                      <w:divBdr>
                        <w:top w:val="none" w:sz="0" w:space="0" w:color="auto"/>
                        <w:left w:val="none" w:sz="0" w:space="0" w:color="auto"/>
                        <w:bottom w:val="none" w:sz="0" w:space="0" w:color="auto"/>
                        <w:right w:val="none" w:sz="0" w:space="0" w:color="auto"/>
                      </w:divBdr>
                      <w:divsChild>
                        <w:div w:id="336226765">
                          <w:marLeft w:val="0"/>
                          <w:marRight w:val="0"/>
                          <w:marTop w:val="0"/>
                          <w:marBottom w:val="0"/>
                          <w:divBdr>
                            <w:top w:val="none" w:sz="0" w:space="0" w:color="auto"/>
                            <w:left w:val="none" w:sz="0" w:space="0" w:color="auto"/>
                            <w:bottom w:val="none" w:sz="0" w:space="0" w:color="auto"/>
                            <w:right w:val="none" w:sz="0" w:space="0" w:color="auto"/>
                          </w:divBdr>
                          <w:divsChild>
                            <w:div w:id="1823617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04781135">
      <w:bodyDiv w:val="1"/>
      <w:marLeft w:val="0"/>
      <w:marRight w:val="0"/>
      <w:marTop w:val="0"/>
      <w:marBottom w:val="0"/>
      <w:divBdr>
        <w:top w:val="none" w:sz="0" w:space="0" w:color="auto"/>
        <w:left w:val="none" w:sz="0" w:space="0" w:color="auto"/>
        <w:bottom w:val="none" w:sz="0" w:space="0" w:color="auto"/>
        <w:right w:val="none" w:sz="0" w:space="0" w:color="auto"/>
      </w:divBdr>
      <w:divsChild>
        <w:div w:id="369497713">
          <w:marLeft w:val="0"/>
          <w:marRight w:val="0"/>
          <w:marTop w:val="120"/>
          <w:marBottom w:val="120"/>
          <w:divBdr>
            <w:top w:val="none" w:sz="0" w:space="0" w:color="auto"/>
            <w:left w:val="none" w:sz="0" w:space="0" w:color="auto"/>
            <w:bottom w:val="none" w:sz="0" w:space="0" w:color="auto"/>
            <w:right w:val="none" w:sz="0" w:space="0" w:color="auto"/>
          </w:divBdr>
        </w:div>
        <w:div w:id="606624628">
          <w:marLeft w:val="0"/>
          <w:marRight w:val="0"/>
          <w:marTop w:val="120"/>
          <w:marBottom w:val="120"/>
          <w:divBdr>
            <w:top w:val="none" w:sz="0" w:space="0" w:color="auto"/>
            <w:left w:val="none" w:sz="0" w:space="0" w:color="auto"/>
            <w:bottom w:val="none" w:sz="0" w:space="0" w:color="auto"/>
            <w:right w:val="none" w:sz="0" w:space="0" w:color="auto"/>
          </w:divBdr>
        </w:div>
        <w:div w:id="1709598718">
          <w:marLeft w:val="0"/>
          <w:marRight w:val="0"/>
          <w:marTop w:val="120"/>
          <w:marBottom w:val="120"/>
          <w:divBdr>
            <w:top w:val="none" w:sz="0" w:space="0" w:color="auto"/>
            <w:left w:val="none" w:sz="0" w:space="0" w:color="auto"/>
            <w:bottom w:val="none" w:sz="0" w:space="0" w:color="auto"/>
            <w:right w:val="none" w:sz="0" w:space="0" w:color="auto"/>
          </w:divBdr>
        </w:div>
        <w:div w:id="1781532380">
          <w:marLeft w:val="0"/>
          <w:marRight w:val="0"/>
          <w:marTop w:val="120"/>
          <w:marBottom w:val="120"/>
          <w:divBdr>
            <w:top w:val="none" w:sz="0" w:space="0" w:color="auto"/>
            <w:left w:val="none" w:sz="0" w:space="0" w:color="auto"/>
            <w:bottom w:val="none" w:sz="0" w:space="0" w:color="auto"/>
            <w:right w:val="none" w:sz="0" w:space="0" w:color="auto"/>
          </w:divBdr>
        </w:div>
      </w:divsChild>
    </w:div>
    <w:div w:id="513542388">
      <w:bodyDiv w:val="1"/>
      <w:marLeft w:val="0"/>
      <w:marRight w:val="0"/>
      <w:marTop w:val="0"/>
      <w:marBottom w:val="0"/>
      <w:divBdr>
        <w:top w:val="none" w:sz="0" w:space="0" w:color="auto"/>
        <w:left w:val="none" w:sz="0" w:space="0" w:color="auto"/>
        <w:bottom w:val="none" w:sz="0" w:space="0" w:color="auto"/>
        <w:right w:val="none" w:sz="0" w:space="0" w:color="auto"/>
      </w:divBdr>
      <w:divsChild>
        <w:div w:id="899824674">
          <w:marLeft w:val="0"/>
          <w:marRight w:val="0"/>
          <w:marTop w:val="120"/>
          <w:marBottom w:val="120"/>
          <w:divBdr>
            <w:top w:val="none" w:sz="0" w:space="0" w:color="auto"/>
            <w:left w:val="none" w:sz="0" w:space="0" w:color="auto"/>
            <w:bottom w:val="none" w:sz="0" w:space="0" w:color="auto"/>
            <w:right w:val="none" w:sz="0" w:space="0" w:color="auto"/>
          </w:divBdr>
        </w:div>
        <w:div w:id="950084822">
          <w:marLeft w:val="0"/>
          <w:marRight w:val="0"/>
          <w:marTop w:val="120"/>
          <w:marBottom w:val="120"/>
          <w:divBdr>
            <w:top w:val="none" w:sz="0" w:space="0" w:color="auto"/>
            <w:left w:val="none" w:sz="0" w:space="0" w:color="auto"/>
            <w:bottom w:val="none" w:sz="0" w:space="0" w:color="auto"/>
            <w:right w:val="none" w:sz="0" w:space="0" w:color="auto"/>
          </w:divBdr>
        </w:div>
        <w:div w:id="1614166942">
          <w:marLeft w:val="0"/>
          <w:marRight w:val="0"/>
          <w:marTop w:val="120"/>
          <w:marBottom w:val="120"/>
          <w:divBdr>
            <w:top w:val="none" w:sz="0" w:space="0" w:color="auto"/>
            <w:left w:val="none" w:sz="0" w:space="0" w:color="auto"/>
            <w:bottom w:val="none" w:sz="0" w:space="0" w:color="auto"/>
            <w:right w:val="none" w:sz="0" w:space="0" w:color="auto"/>
          </w:divBdr>
        </w:div>
        <w:div w:id="1829397265">
          <w:marLeft w:val="0"/>
          <w:marRight w:val="0"/>
          <w:marTop w:val="120"/>
          <w:marBottom w:val="120"/>
          <w:divBdr>
            <w:top w:val="none" w:sz="0" w:space="0" w:color="auto"/>
            <w:left w:val="none" w:sz="0" w:space="0" w:color="auto"/>
            <w:bottom w:val="none" w:sz="0" w:space="0" w:color="auto"/>
            <w:right w:val="none" w:sz="0" w:space="0" w:color="auto"/>
          </w:divBdr>
        </w:div>
      </w:divsChild>
    </w:div>
    <w:div w:id="518815352">
      <w:bodyDiv w:val="1"/>
      <w:marLeft w:val="0"/>
      <w:marRight w:val="0"/>
      <w:marTop w:val="0"/>
      <w:marBottom w:val="0"/>
      <w:divBdr>
        <w:top w:val="none" w:sz="0" w:space="0" w:color="auto"/>
        <w:left w:val="none" w:sz="0" w:space="0" w:color="auto"/>
        <w:bottom w:val="none" w:sz="0" w:space="0" w:color="auto"/>
        <w:right w:val="none" w:sz="0" w:space="0" w:color="auto"/>
      </w:divBdr>
    </w:div>
    <w:div w:id="526718087">
      <w:bodyDiv w:val="1"/>
      <w:marLeft w:val="0"/>
      <w:marRight w:val="0"/>
      <w:marTop w:val="0"/>
      <w:marBottom w:val="0"/>
      <w:divBdr>
        <w:top w:val="none" w:sz="0" w:space="0" w:color="auto"/>
        <w:left w:val="none" w:sz="0" w:space="0" w:color="auto"/>
        <w:bottom w:val="none" w:sz="0" w:space="0" w:color="auto"/>
        <w:right w:val="none" w:sz="0" w:space="0" w:color="auto"/>
      </w:divBdr>
    </w:div>
    <w:div w:id="537013793">
      <w:bodyDiv w:val="1"/>
      <w:marLeft w:val="0"/>
      <w:marRight w:val="0"/>
      <w:marTop w:val="0"/>
      <w:marBottom w:val="0"/>
      <w:divBdr>
        <w:top w:val="none" w:sz="0" w:space="0" w:color="auto"/>
        <w:left w:val="none" w:sz="0" w:space="0" w:color="auto"/>
        <w:bottom w:val="none" w:sz="0" w:space="0" w:color="auto"/>
        <w:right w:val="none" w:sz="0" w:space="0" w:color="auto"/>
      </w:divBdr>
      <w:divsChild>
        <w:div w:id="277105193">
          <w:marLeft w:val="0"/>
          <w:marRight w:val="0"/>
          <w:marTop w:val="120"/>
          <w:marBottom w:val="120"/>
          <w:divBdr>
            <w:top w:val="none" w:sz="0" w:space="0" w:color="auto"/>
            <w:left w:val="none" w:sz="0" w:space="0" w:color="auto"/>
            <w:bottom w:val="none" w:sz="0" w:space="0" w:color="auto"/>
            <w:right w:val="none" w:sz="0" w:space="0" w:color="auto"/>
          </w:divBdr>
        </w:div>
      </w:divsChild>
    </w:div>
    <w:div w:id="561410308">
      <w:bodyDiv w:val="1"/>
      <w:marLeft w:val="0"/>
      <w:marRight w:val="0"/>
      <w:marTop w:val="0"/>
      <w:marBottom w:val="0"/>
      <w:divBdr>
        <w:top w:val="none" w:sz="0" w:space="0" w:color="auto"/>
        <w:left w:val="none" w:sz="0" w:space="0" w:color="auto"/>
        <w:bottom w:val="none" w:sz="0" w:space="0" w:color="auto"/>
        <w:right w:val="none" w:sz="0" w:space="0" w:color="auto"/>
      </w:divBdr>
      <w:divsChild>
        <w:div w:id="495809589">
          <w:marLeft w:val="0"/>
          <w:marRight w:val="0"/>
          <w:marTop w:val="120"/>
          <w:marBottom w:val="120"/>
          <w:divBdr>
            <w:top w:val="none" w:sz="0" w:space="0" w:color="auto"/>
            <w:left w:val="none" w:sz="0" w:space="0" w:color="auto"/>
            <w:bottom w:val="none" w:sz="0" w:space="0" w:color="auto"/>
            <w:right w:val="none" w:sz="0" w:space="0" w:color="auto"/>
          </w:divBdr>
        </w:div>
        <w:div w:id="1322851684">
          <w:marLeft w:val="0"/>
          <w:marRight w:val="0"/>
          <w:marTop w:val="120"/>
          <w:marBottom w:val="120"/>
          <w:divBdr>
            <w:top w:val="none" w:sz="0" w:space="0" w:color="auto"/>
            <w:left w:val="none" w:sz="0" w:space="0" w:color="auto"/>
            <w:bottom w:val="none" w:sz="0" w:space="0" w:color="auto"/>
            <w:right w:val="none" w:sz="0" w:space="0" w:color="auto"/>
          </w:divBdr>
        </w:div>
        <w:div w:id="1952200769">
          <w:marLeft w:val="0"/>
          <w:marRight w:val="0"/>
          <w:marTop w:val="120"/>
          <w:marBottom w:val="120"/>
          <w:divBdr>
            <w:top w:val="none" w:sz="0" w:space="0" w:color="auto"/>
            <w:left w:val="none" w:sz="0" w:space="0" w:color="auto"/>
            <w:bottom w:val="none" w:sz="0" w:space="0" w:color="auto"/>
            <w:right w:val="none" w:sz="0" w:space="0" w:color="auto"/>
          </w:divBdr>
        </w:div>
      </w:divsChild>
    </w:div>
    <w:div w:id="568229670">
      <w:bodyDiv w:val="1"/>
      <w:marLeft w:val="0"/>
      <w:marRight w:val="0"/>
      <w:marTop w:val="0"/>
      <w:marBottom w:val="0"/>
      <w:divBdr>
        <w:top w:val="none" w:sz="0" w:space="0" w:color="auto"/>
        <w:left w:val="none" w:sz="0" w:space="0" w:color="auto"/>
        <w:bottom w:val="none" w:sz="0" w:space="0" w:color="auto"/>
        <w:right w:val="none" w:sz="0" w:space="0" w:color="auto"/>
      </w:divBdr>
    </w:div>
    <w:div w:id="573441054">
      <w:bodyDiv w:val="1"/>
      <w:marLeft w:val="0"/>
      <w:marRight w:val="0"/>
      <w:marTop w:val="0"/>
      <w:marBottom w:val="0"/>
      <w:divBdr>
        <w:top w:val="none" w:sz="0" w:space="0" w:color="auto"/>
        <w:left w:val="none" w:sz="0" w:space="0" w:color="auto"/>
        <w:bottom w:val="none" w:sz="0" w:space="0" w:color="auto"/>
        <w:right w:val="none" w:sz="0" w:space="0" w:color="auto"/>
      </w:divBdr>
    </w:div>
    <w:div w:id="585114496">
      <w:bodyDiv w:val="1"/>
      <w:marLeft w:val="0"/>
      <w:marRight w:val="0"/>
      <w:marTop w:val="0"/>
      <w:marBottom w:val="0"/>
      <w:divBdr>
        <w:top w:val="none" w:sz="0" w:space="0" w:color="auto"/>
        <w:left w:val="none" w:sz="0" w:space="0" w:color="auto"/>
        <w:bottom w:val="none" w:sz="0" w:space="0" w:color="auto"/>
        <w:right w:val="none" w:sz="0" w:space="0" w:color="auto"/>
      </w:divBdr>
    </w:div>
    <w:div w:id="591546858">
      <w:bodyDiv w:val="1"/>
      <w:marLeft w:val="0"/>
      <w:marRight w:val="0"/>
      <w:marTop w:val="0"/>
      <w:marBottom w:val="0"/>
      <w:divBdr>
        <w:top w:val="none" w:sz="0" w:space="0" w:color="auto"/>
        <w:left w:val="none" w:sz="0" w:space="0" w:color="auto"/>
        <w:bottom w:val="none" w:sz="0" w:space="0" w:color="auto"/>
        <w:right w:val="none" w:sz="0" w:space="0" w:color="auto"/>
      </w:divBdr>
    </w:div>
    <w:div w:id="591666800">
      <w:bodyDiv w:val="1"/>
      <w:marLeft w:val="0"/>
      <w:marRight w:val="0"/>
      <w:marTop w:val="0"/>
      <w:marBottom w:val="0"/>
      <w:divBdr>
        <w:top w:val="none" w:sz="0" w:space="0" w:color="auto"/>
        <w:left w:val="none" w:sz="0" w:space="0" w:color="auto"/>
        <w:bottom w:val="none" w:sz="0" w:space="0" w:color="auto"/>
        <w:right w:val="none" w:sz="0" w:space="0" w:color="auto"/>
      </w:divBdr>
      <w:divsChild>
        <w:div w:id="1598516706">
          <w:marLeft w:val="0"/>
          <w:marRight w:val="0"/>
          <w:marTop w:val="120"/>
          <w:marBottom w:val="120"/>
          <w:divBdr>
            <w:top w:val="none" w:sz="0" w:space="0" w:color="auto"/>
            <w:left w:val="none" w:sz="0" w:space="0" w:color="auto"/>
            <w:bottom w:val="none" w:sz="0" w:space="0" w:color="auto"/>
            <w:right w:val="none" w:sz="0" w:space="0" w:color="auto"/>
          </w:divBdr>
        </w:div>
      </w:divsChild>
    </w:div>
    <w:div w:id="594168379">
      <w:bodyDiv w:val="1"/>
      <w:marLeft w:val="0"/>
      <w:marRight w:val="0"/>
      <w:marTop w:val="0"/>
      <w:marBottom w:val="0"/>
      <w:divBdr>
        <w:top w:val="none" w:sz="0" w:space="0" w:color="auto"/>
        <w:left w:val="none" w:sz="0" w:space="0" w:color="auto"/>
        <w:bottom w:val="none" w:sz="0" w:space="0" w:color="auto"/>
        <w:right w:val="none" w:sz="0" w:space="0" w:color="auto"/>
      </w:divBdr>
    </w:div>
    <w:div w:id="600186492">
      <w:bodyDiv w:val="1"/>
      <w:marLeft w:val="0"/>
      <w:marRight w:val="0"/>
      <w:marTop w:val="0"/>
      <w:marBottom w:val="0"/>
      <w:divBdr>
        <w:top w:val="none" w:sz="0" w:space="0" w:color="auto"/>
        <w:left w:val="none" w:sz="0" w:space="0" w:color="auto"/>
        <w:bottom w:val="none" w:sz="0" w:space="0" w:color="auto"/>
        <w:right w:val="none" w:sz="0" w:space="0" w:color="auto"/>
      </w:divBdr>
    </w:div>
    <w:div w:id="601302174">
      <w:bodyDiv w:val="1"/>
      <w:marLeft w:val="0"/>
      <w:marRight w:val="0"/>
      <w:marTop w:val="0"/>
      <w:marBottom w:val="0"/>
      <w:divBdr>
        <w:top w:val="none" w:sz="0" w:space="0" w:color="auto"/>
        <w:left w:val="none" w:sz="0" w:space="0" w:color="auto"/>
        <w:bottom w:val="none" w:sz="0" w:space="0" w:color="auto"/>
        <w:right w:val="none" w:sz="0" w:space="0" w:color="auto"/>
      </w:divBdr>
    </w:div>
    <w:div w:id="603999185">
      <w:bodyDiv w:val="1"/>
      <w:marLeft w:val="0"/>
      <w:marRight w:val="0"/>
      <w:marTop w:val="0"/>
      <w:marBottom w:val="0"/>
      <w:divBdr>
        <w:top w:val="none" w:sz="0" w:space="0" w:color="auto"/>
        <w:left w:val="none" w:sz="0" w:space="0" w:color="auto"/>
        <w:bottom w:val="none" w:sz="0" w:space="0" w:color="auto"/>
        <w:right w:val="none" w:sz="0" w:space="0" w:color="auto"/>
      </w:divBdr>
    </w:div>
    <w:div w:id="613829660">
      <w:bodyDiv w:val="1"/>
      <w:marLeft w:val="0"/>
      <w:marRight w:val="0"/>
      <w:marTop w:val="0"/>
      <w:marBottom w:val="0"/>
      <w:divBdr>
        <w:top w:val="none" w:sz="0" w:space="0" w:color="auto"/>
        <w:left w:val="none" w:sz="0" w:space="0" w:color="auto"/>
        <w:bottom w:val="none" w:sz="0" w:space="0" w:color="auto"/>
        <w:right w:val="none" w:sz="0" w:space="0" w:color="auto"/>
      </w:divBdr>
    </w:div>
    <w:div w:id="622420223">
      <w:bodyDiv w:val="1"/>
      <w:marLeft w:val="0"/>
      <w:marRight w:val="0"/>
      <w:marTop w:val="0"/>
      <w:marBottom w:val="0"/>
      <w:divBdr>
        <w:top w:val="none" w:sz="0" w:space="0" w:color="auto"/>
        <w:left w:val="none" w:sz="0" w:space="0" w:color="auto"/>
        <w:bottom w:val="none" w:sz="0" w:space="0" w:color="auto"/>
        <w:right w:val="none" w:sz="0" w:space="0" w:color="auto"/>
      </w:divBdr>
    </w:div>
    <w:div w:id="640423531">
      <w:bodyDiv w:val="1"/>
      <w:marLeft w:val="0"/>
      <w:marRight w:val="0"/>
      <w:marTop w:val="0"/>
      <w:marBottom w:val="0"/>
      <w:divBdr>
        <w:top w:val="none" w:sz="0" w:space="0" w:color="auto"/>
        <w:left w:val="none" w:sz="0" w:space="0" w:color="auto"/>
        <w:bottom w:val="none" w:sz="0" w:space="0" w:color="auto"/>
        <w:right w:val="none" w:sz="0" w:space="0" w:color="auto"/>
      </w:divBdr>
      <w:divsChild>
        <w:div w:id="54356103">
          <w:marLeft w:val="0"/>
          <w:marRight w:val="0"/>
          <w:marTop w:val="0"/>
          <w:marBottom w:val="0"/>
          <w:divBdr>
            <w:top w:val="none" w:sz="0" w:space="0" w:color="auto"/>
            <w:left w:val="none" w:sz="0" w:space="0" w:color="auto"/>
            <w:bottom w:val="none" w:sz="0" w:space="0" w:color="auto"/>
            <w:right w:val="none" w:sz="0" w:space="0" w:color="auto"/>
          </w:divBdr>
          <w:divsChild>
            <w:div w:id="885876863">
              <w:marLeft w:val="0"/>
              <w:marRight w:val="0"/>
              <w:marTop w:val="0"/>
              <w:marBottom w:val="0"/>
              <w:divBdr>
                <w:top w:val="none" w:sz="0" w:space="0" w:color="auto"/>
                <w:left w:val="none" w:sz="0" w:space="0" w:color="auto"/>
                <w:bottom w:val="none" w:sz="0" w:space="0" w:color="auto"/>
                <w:right w:val="none" w:sz="0" w:space="0" w:color="auto"/>
              </w:divBdr>
              <w:divsChild>
                <w:div w:id="741559429">
                  <w:marLeft w:val="0"/>
                  <w:marRight w:val="0"/>
                  <w:marTop w:val="0"/>
                  <w:marBottom w:val="0"/>
                  <w:divBdr>
                    <w:top w:val="none" w:sz="0" w:space="0" w:color="auto"/>
                    <w:left w:val="none" w:sz="0" w:space="0" w:color="auto"/>
                    <w:bottom w:val="none" w:sz="0" w:space="0" w:color="auto"/>
                    <w:right w:val="none" w:sz="0" w:space="0" w:color="auto"/>
                  </w:divBdr>
                  <w:divsChild>
                    <w:div w:id="390033690">
                      <w:marLeft w:val="0"/>
                      <w:marRight w:val="0"/>
                      <w:marTop w:val="0"/>
                      <w:marBottom w:val="0"/>
                      <w:divBdr>
                        <w:top w:val="none" w:sz="0" w:space="0" w:color="auto"/>
                        <w:left w:val="none" w:sz="0" w:space="0" w:color="auto"/>
                        <w:bottom w:val="none" w:sz="0" w:space="0" w:color="auto"/>
                        <w:right w:val="none" w:sz="0" w:space="0" w:color="auto"/>
                      </w:divBdr>
                      <w:divsChild>
                        <w:div w:id="1027293483">
                          <w:marLeft w:val="0"/>
                          <w:marRight w:val="0"/>
                          <w:marTop w:val="0"/>
                          <w:marBottom w:val="0"/>
                          <w:divBdr>
                            <w:top w:val="none" w:sz="0" w:space="0" w:color="auto"/>
                            <w:left w:val="none" w:sz="0" w:space="0" w:color="auto"/>
                            <w:bottom w:val="none" w:sz="0" w:space="0" w:color="auto"/>
                            <w:right w:val="none" w:sz="0" w:space="0" w:color="auto"/>
                          </w:divBdr>
                          <w:divsChild>
                            <w:div w:id="1410497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3433796">
      <w:bodyDiv w:val="1"/>
      <w:marLeft w:val="0"/>
      <w:marRight w:val="0"/>
      <w:marTop w:val="0"/>
      <w:marBottom w:val="0"/>
      <w:divBdr>
        <w:top w:val="none" w:sz="0" w:space="0" w:color="auto"/>
        <w:left w:val="none" w:sz="0" w:space="0" w:color="auto"/>
        <w:bottom w:val="none" w:sz="0" w:space="0" w:color="auto"/>
        <w:right w:val="none" w:sz="0" w:space="0" w:color="auto"/>
      </w:divBdr>
    </w:div>
    <w:div w:id="645085083">
      <w:bodyDiv w:val="1"/>
      <w:marLeft w:val="0"/>
      <w:marRight w:val="0"/>
      <w:marTop w:val="0"/>
      <w:marBottom w:val="0"/>
      <w:divBdr>
        <w:top w:val="none" w:sz="0" w:space="0" w:color="auto"/>
        <w:left w:val="none" w:sz="0" w:space="0" w:color="auto"/>
        <w:bottom w:val="none" w:sz="0" w:space="0" w:color="auto"/>
        <w:right w:val="none" w:sz="0" w:space="0" w:color="auto"/>
      </w:divBdr>
      <w:divsChild>
        <w:div w:id="1904246103">
          <w:marLeft w:val="0"/>
          <w:marRight w:val="0"/>
          <w:marTop w:val="120"/>
          <w:marBottom w:val="120"/>
          <w:divBdr>
            <w:top w:val="none" w:sz="0" w:space="0" w:color="auto"/>
            <w:left w:val="none" w:sz="0" w:space="0" w:color="auto"/>
            <w:bottom w:val="none" w:sz="0" w:space="0" w:color="auto"/>
            <w:right w:val="none" w:sz="0" w:space="0" w:color="auto"/>
          </w:divBdr>
        </w:div>
      </w:divsChild>
    </w:div>
    <w:div w:id="685644162">
      <w:bodyDiv w:val="1"/>
      <w:marLeft w:val="0"/>
      <w:marRight w:val="0"/>
      <w:marTop w:val="0"/>
      <w:marBottom w:val="0"/>
      <w:divBdr>
        <w:top w:val="none" w:sz="0" w:space="0" w:color="auto"/>
        <w:left w:val="none" w:sz="0" w:space="0" w:color="auto"/>
        <w:bottom w:val="none" w:sz="0" w:space="0" w:color="auto"/>
        <w:right w:val="none" w:sz="0" w:space="0" w:color="auto"/>
      </w:divBdr>
    </w:div>
    <w:div w:id="703870483">
      <w:bodyDiv w:val="1"/>
      <w:marLeft w:val="0"/>
      <w:marRight w:val="0"/>
      <w:marTop w:val="0"/>
      <w:marBottom w:val="0"/>
      <w:divBdr>
        <w:top w:val="none" w:sz="0" w:space="0" w:color="auto"/>
        <w:left w:val="none" w:sz="0" w:space="0" w:color="auto"/>
        <w:bottom w:val="none" w:sz="0" w:space="0" w:color="auto"/>
        <w:right w:val="none" w:sz="0" w:space="0" w:color="auto"/>
      </w:divBdr>
    </w:div>
    <w:div w:id="706488533">
      <w:bodyDiv w:val="1"/>
      <w:marLeft w:val="0"/>
      <w:marRight w:val="0"/>
      <w:marTop w:val="0"/>
      <w:marBottom w:val="0"/>
      <w:divBdr>
        <w:top w:val="none" w:sz="0" w:space="0" w:color="auto"/>
        <w:left w:val="none" w:sz="0" w:space="0" w:color="auto"/>
        <w:bottom w:val="none" w:sz="0" w:space="0" w:color="auto"/>
        <w:right w:val="none" w:sz="0" w:space="0" w:color="auto"/>
      </w:divBdr>
      <w:divsChild>
        <w:div w:id="633407396">
          <w:marLeft w:val="0"/>
          <w:marRight w:val="0"/>
          <w:marTop w:val="0"/>
          <w:marBottom w:val="0"/>
          <w:divBdr>
            <w:top w:val="none" w:sz="0" w:space="0" w:color="auto"/>
            <w:left w:val="none" w:sz="0" w:space="0" w:color="auto"/>
            <w:bottom w:val="none" w:sz="0" w:space="0" w:color="auto"/>
            <w:right w:val="none" w:sz="0" w:space="0" w:color="auto"/>
          </w:divBdr>
          <w:divsChild>
            <w:div w:id="871185380">
              <w:marLeft w:val="0"/>
              <w:marRight w:val="0"/>
              <w:marTop w:val="0"/>
              <w:marBottom w:val="0"/>
              <w:divBdr>
                <w:top w:val="none" w:sz="0" w:space="0" w:color="auto"/>
                <w:left w:val="none" w:sz="0" w:space="0" w:color="auto"/>
                <w:bottom w:val="none" w:sz="0" w:space="0" w:color="auto"/>
                <w:right w:val="none" w:sz="0" w:space="0" w:color="auto"/>
              </w:divBdr>
              <w:divsChild>
                <w:div w:id="1969974381">
                  <w:marLeft w:val="0"/>
                  <w:marRight w:val="0"/>
                  <w:marTop w:val="0"/>
                  <w:marBottom w:val="0"/>
                  <w:divBdr>
                    <w:top w:val="none" w:sz="0" w:space="0" w:color="auto"/>
                    <w:left w:val="none" w:sz="0" w:space="0" w:color="auto"/>
                    <w:bottom w:val="none" w:sz="0" w:space="0" w:color="auto"/>
                    <w:right w:val="none" w:sz="0" w:space="0" w:color="auto"/>
                  </w:divBdr>
                  <w:divsChild>
                    <w:div w:id="1885169934">
                      <w:marLeft w:val="0"/>
                      <w:marRight w:val="0"/>
                      <w:marTop w:val="0"/>
                      <w:marBottom w:val="0"/>
                      <w:divBdr>
                        <w:top w:val="none" w:sz="0" w:space="0" w:color="auto"/>
                        <w:left w:val="none" w:sz="0" w:space="0" w:color="auto"/>
                        <w:bottom w:val="none" w:sz="0" w:space="0" w:color="auto"/>
                        <w:right w:val="none" w:sz="0" w:space="0" w:color="auto"/>
                      </w:divBdr>
                      <w:divsChild>
                        <w:div w:id="603654404">
                          <w:marLeft w:val="0"/>
                          <w:marRight w:val="0"/>
                          <w:marTop w:val="0"/>
                          <w:marBottom w:val="0"/>
                          <w:divBdr>
                            <w:top w:val="none" w:sz="0" w:space="0" w:color="auto"/>
                            <w:left w:val="none" w:sz="0" w:space="0" w:color="auto"/>
                            <w:bottom w:val="none" w:sz="0" w:space="0" w:color="auto"/>
                            <w:right w:val="none" w:sz="0" w:space="0" w:color="auto"/>
                          </w:divBdr>
                          <w:divsChild>
                            <w:div w:id="639118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0804808">
      <w:bodyDiv w:val="1"/>
      <w:marLeft w:val="0"/>
      <w:marRight w:val="0"/>
      <w:marTop w:val="0"/>
      <w:marBottom w:val="0"/>
      <w:divBdr>
        <w:top w:val="none" w:sz="0" w:space="0" w:color="auto"/>
        <w:left w:val="none" w:sz="0" w:space="0" w:color="auto"/>
        <w:bottom w:val="none" w:sz="0" w:space="0" w:color="auto"/>
        <w:right w:val="none" w:sz="0" w:space="0" w:color="auto"/>
      </w:divBdr>
    </w:div>
    <w:div w:id="712655809">
      <w:bodyDiv w:val="1"/>
      <w:marLeft w:val="0"/>
      <w:marRight w:val="0"/>
      <w:marTop w:val="0"/>
      <w:marBottom w:val="0"/>
      <w:divBdr>
        <w:top w:val="none" w:sz="0" w:space="0" w:color="auto"/>
        <w:left w:val="none" w:sz="0" w:space="0" w:color="auto"/>
        <w:bottom w:val="none" w:sz="0" w:space="0" w:color="auto"/>
        <w:right w:val="none" w:sz="0" w:space="0" w:color="auto"/>
      </w:divBdr>
    </w:div>
    <w:div w:id="719404902">
      <w:bodyDiv w:val="1"/>
      <w:marLeft w:val="0"/>
      <w:marRight w:val="0"/>
      <w:marTop w:val="0"/>
      <w:marBottom w:val="0"/>
      <w:divBdr>
        <w:top w:val="none" w:sz="0" w:space="0" w:color="auto"/>
        <w:left w:val="none" w:sz="0" w:space="0" w:color="auto"/>
        <w:bottom w:val="none" w:sz="0" w:space="0" w:color="auto"/>
        <w:right w:val="none" w:sz="0" w:space="0" w:color="auto"/>
      </w:divBdr>
      <w:divsChild>
        <w:div w:id="760446686">
          <w:marLeft w:val="0"/>
          <w:marRight w:val="0"/>
          <w:marTop w:val="120"/>
          <w:marBottom w:val="120"/>
          <w:divBdr>
            <w:top w:val="none" w:sz="0" w:space="0" w:color="auto"/>
            <w:left w:val="none" w:sz="0" w:space="0" w:color="auto"/>
            <w:bottom w:val="none" w:sz="0" w:space="0" w:color="auto"/>
            <w:right w:val="none" w:sz="0" w:space="0" w:color="auto"/>
          </w:divBdr>
        </w:div>
      </w:divsChild>
    </w:div>
    <w:div w:id="719936594">
      <w:bodyDiv w:val="1"/>
      <w:marLeft w:val="0"/>
      <w:marRight w:val="0"/>
      <w:marTop w:val="0"/>
      <w:marBottom w:val="0"/>
      <w:divBdr>
        <w:top w:val="none" w:sz="0" w:space="0" w:color="auto"/>
        <w:left w:val="none" w:sz="0" w:space="0" w:color="auto"/>
        <w:bottom w:val="none" w:sz="0" w:space="0" w:color="auto"/>
        <w:right w:val="none" w:sz="0" w:space="0" w:color="auto"/>
      </w:divBdr>
      <w:divsChild>
        <w:div w:id="2108695789">
          <w:marLeft w:val="0"/>
          <w:marRight w:val="0"/>
          <w:marTop w:val="120"/>
          <w:marBottom w:val="120"/>
          <w:divBdr>
            <w:top w:val="none" w:sz="0" w:space="0" w:color="auto"/>
            <w:left w:val="none" w:sz="0" w:space="0" w:color="auto"/>
            <w:bottom w:val="none" w:sz="0" w:space="0" w:color="auto"/>
            <w:right w:val="none" w:sz="0" w:space="0" w:color="auto"/>
          </w:divBdr>
        </w:div>
      </w:divsChild>
    </w:div>
    <w:div w:id="722289988">
      <w:bodyDiv w:val="1"/>
      <w:marLeft w:val="0"/>
      <w:marRight w:val="0"/>
      <w:marTop w:val="0"/>
      <w:marBottom w:val="0"/>
      <w:divBdr>
        <w:top w:val="none" w:sz="0" w:space="0" w:color="auto"/>
        <w:left w:val="none" w:sz="0" w:space="0" w:color="auto"/>
        <w:bottom w:val="none" w:sz="0" w:space="0" w:color="auto"/>
        <w:right w:val="none" w:sz="0" w:space="0" w:color="auto"/>
      </w:divBdr>
    </w:div>
    <w:div w:id="729617273">
      <w:bodyDiv w:val="1"/>
      <w:marLeft w:val="0"/>
      <w:marRight w:val="0"/>
      <w:marTop w:val="0"/>
      <w:marBottom w:val="0"/>
      <w:divBdr>
        <w:top w:val="none" w:sz="0" w:space="0" w:color="auto"/>
        <w:left w:val="none" w:sz="0" w:space="0" w:color="auto"/>
        <w:bottom w:val="none" w:sz="0" w:space="0" w:color="auto"/>
        <w:right w:val="none" w:sz="0" w:space="0" w:color="auto"/>
      </w:divBdr>
    </w:div>
    <w:div w:id="738789664">
      <w:bodyDiv w:val="1"/>
      <w:marLeft w:val="0"/>
      <w:marRight w:val="0"/>
      <w:marTop w:val="0"/>
      <w:marBottom w:val="0"/>
      <w:divBdr>
        <w:top w:val="none" w:sz="0" w:space="0" w:color="auto"/>
        <w:left w:val="none" w:sz="0" w:space="0" w:color="auto"/>
        <w:bottom w:val="none" w:sz="0" w:space="0" w:color="auto"/>
        <w:right w:val="none" w:sz="0" w:space="0" w:color="auto"/>
      </w:divBdr>
    </w:div>
    <w:div w:id="746195403">
      <w:bodyDiv w:val="1"/>
      <w:marLeft w:val="0"/>
      <w:marRight w:val="0"/>
      <w:marTop w:val="0"/>
      <w:marBottom w:val="0"/>
      <w:divBdr>
        <w:top w:val="none" w:sz="0" w:space="0" w:color="auto"/>
        <w:left w:val="none" w:sz="0" w:space="0" w:color="auto"/>
        <w:bottom w:val="none" w:sz="0" w:space="0" w:color="auto"/>
        <w:right w:val="none" w:sz="0" w:space="0" w:color="auto"/>
      </w:divBdr>
      <w:divsChild>
        <w:div w:id="913204649">
          <w:marLeft w:val="0"/>
          <w:marRight w:val="0"/>
          <w:marTop w:val="120"/>
          <w:marBottom w:val="120"/>
          <w:divBdr>
            <w:top w:val="none" w:sz="0" w:space="0" w:color="auto"/>
            <w:left w:val="none" w:sz="0" w:space="0" w:color="auto"/>
            <w:bottom w:val="none" w:sz="0" w:space="0" w:color="auto"/>
            <w:right w:val="none" w:sz="0" w:space="0" w:color="auto"/>
          </w:divBdr>
        </w:div>
      </w:divsChild>
    </w:div>
    <w:div w:id="748305773">
      <w:bodyDiv w:val="1"/>
      <w:marLeft w:val="0"/>
      <w:marRight w:val="0"/>
      <w:marTop w:val="0"/>
      <w:marBottom w:val="0"/>
      <w:divBdr>
        <w:top w:val="none" w:sz="0" w:space="0" w:color="auto"/>
        <w:left w:val="none" w:sz="0" w:space="0" w:color="auto"/>
        <w:bottom w:val="none" w:sz="0" w:space="0" w:color="auto"/>
        <w:right w:val="none" w:sz="0" w:space="0" w:color="auto"/>
      </w:divBdr>
    </w:div>
    <w:div w:id="749691819">
      <w:bodyDiv w:val="1"/>
      <w:marLeft w:val="0"/>
      <w:marRight w:val="0"/>
      <w:marTop w:val="0"/>
      <w:marBottom w:val="0"/>
      <w:divBdr>
        <w:top w:val="none" w:sz="0" w:space="0" w:color="auto"/>
        <w:left w:val="none" w:sz="0" w:space="0" w:color="auto"/>
        <w:bottom w:val="none" w:sz="0" w:space="0" w:color="auto"/>
        <w:right w:val="none" w:sz="0" w:space="0" w:color="auto"/>
      </w:divBdr>
      <w:divsChild>
        <w:div w:id="292634296">
          <w:marLeft w:val="0"/>
          <w:marRight w:val="0"/>
          <w:marTop w:val="120"/>
          <w:marBottom w:val="120"/>
          <w:divBdr>
            <w:top w:val="none" w:sz="0" w:space="0" w:color="auto"/>
            <w:left w:val="none" w:sz="0" w:space="0" w:color="auto"/>
            <w:bottom w:val="none" w:sz="0" w:space="0" w:color="auto"/>
            <w:right w:val="none" w:sz="0" w:space="0" w:color="auto"/>
          </w:divBdr>
        </w:div>
        <w:div w:id="1436749435">
          <w:marLeft w:val="0"/>
          <w:marRight w:val="0"/>
          <w:marTop w:val="120"/>
          <w:marBottom w:val="120"/>
          <w:divBdr>
            <w:top w:val="none" w:sz="0" w:space="0" w:color="auto"/>
            <w:left w:val="none" w:sz="0" w:space="0" w:color="auto"/>
            <w:bottom w:val="none" w:sz="0" w:space="0" w:color="auto"/>
            <w:right w:val="none" w:sz="0" w:space="0" w:color="auto"/>
          </w:divBdr>
        </w:div>
        <w:div w:id="1478841535">
          <w:marLeft w:val="0"/>
          <w:marRight w:val="0"/>
          <w:marTop w:val="120"/>
          <w:marBottom w:val="120"/>
          <w:divBdr>
            <w:top w:val="none" w:sz="0" w:space="0" w:color="auto"/>
            <w:left w:val="none" w:sz="0" w:space="0" w:color="auto"/>
            <w:bottom w:val="none" w:sz="0" w:space="0" w:color="auto"/>
            <w:right w:val="none" w:sz="0" w:space="0" w:color="auto"/>
          </w:divBdr>
        </w:div>
      </w:divsChild>
    </w:div>
    <w:div w:id="766539744">
      <w:bodyDiv w:val="1"/>
      <w:marLeft w:val="0"/>
      <w:marRight w:val="0"/>
      <w:marTop w:val="0"/>
      <w:marBottom w:val="0"/>
      <w:divBdr>
        <w:top w:val="none" w:sz="0" w:space="0" w:color="auto"/>
        <w:left w:val="none" w:sz="0" w:space="0" w:color="auto"/>
        <w:bottom w:val="none" w:sz="0" w:space="0" w:color="auto"/>
        <w:right w:val="none" w:sz="0" w:space="0" w:color="auto"/>
      </w:divBdr>
    </w:div>
    <w:div w:id="773131924">
      <w:bodyDiv w:val="1"/>
      <w:marLeft w:val="0"/>
      <w:marRight w:val="0"/>
      <w:marTop w:val="0"/>
      <w:marBottom w:val="0"/>
      <w:divBdr>
        <w:top w:val="none" w:sz="0" w:space="0" w:color="auto"/>
        <w:left w:val="none" w:sz="0" w:space="0" w:color="auto"/>
        <w:bottom w:val="none" w:sz="0" w:space="0" w:color="auto"/>
        <w:right w:val="none" w:sz="0" w:space="0" w:color="auto"/>
      </w:divBdr>
      <w:divsChild>
        <w:div w:id="222524906">
          <w:marLeft w:val="0"/>
          <w:marRight w:val="0"/>
          <w:marTop w:val="120"/>
          <w:marBottom w:val="120"/>
          <w:divBdr>
            <w:top w:val="none" w:sz="0" w:space="0" w:color="auto"/>
            <w:left w:val="none" w:sz="0" w:space="0" w:color="auto"/>
            <w:bottom w:val="none" w:sz="0" w:space="0" w:color="auto"/>
            <w:right w:val="none" w:sz="0" w:space="0" w:color="auto"/>
          </w:divBdr>
        </w:div>
      </w:divsChild>
    </w:div>
    <w:div w:id="788357554">
      <w:bodyDiv w:val="1"/>
      <w:marLeft w:val="0"/>
      <w:marRight w:val="0"/>
      <w:marTop w:val="0"/>
      <w:marBottom w:val="0"/>
      <w:divBdr>
        <w:top w:val="none" w:sz="0" w:space="0" w:color="auto"/>
        <w:left w:val="none" w:sz="0" w:space="0" w:color="auto"/>
        <w:bottom w:val="none" w:sz="0" w:space="0" w:color="auto"/>
        <w:right w:val="none" w:sz="0" w:space="0" w:color="auto"/>
      </w:divBdr>
    </w:div>
    <w:div w:id="791166791">
      <w:bodyDiv w:val="1"/>
      <w:marLeft w:val="0"/>
      <w:marRight w:val="0"/>
      <w:marTop w:val="0"/>
      <w:marBottom w:val="0"/>
      <w:divBdr>
        <w:top w:val="none" w:sz="0" w:space="0" w:color="auto"/>
        <w:left w:val="none" w:sz="0" w:space="0" w:color="auto"/>
        <w:bottom w:val="none" w:sz="0" w:space="0" w:color="auto"/>
        <w:right w:val="none" w:sz="0" w:space="0" w:color="auto"/>
      </w:divBdr>
    </w:div>
    <w:div w:id="803162862">
      <w:bodyDiv w:val="1"/>
      <w:marLeft w:val="0"/>
      <w:marRight w:val="0"/>
      <w:marTop w:val="0"/>
      <w:marBottom w:val="0"/>
      <w:divBdr>
        <w:top w:val="none" w:sz="0" w:space="0" w:color="auto"/>
        <w:left w:val="none" w:sz="0" w:space="0" w:color="auto"/>
        <w:bottom w:val="none" w:sz="0" w:space="0" w:color="auto"/>
        <w:right w:val="none" w:sz="0" w:space="0" w:color="auto"/>
      </w:divBdr>
    </w:div>
    <w:div w:id="803280324">
      <w:bodyDiv w:val="1"/>
      <w:marLeft w:val="0"/>
      <w:marRight w:val="0"/>
      <w:marTop w:val="0"/>
      <w:marBottom w:val="0"/>
      <w:divBdr>
        <w:top w:val="none" w:sz="0" w:space="0" w:color="auto"/>
        <w:left w:val="none" w:sz="0" w:space="0" w:color="auto"/>
        <w:bottom w:val="none" w:sz="0" w:space="0" w:color="auto"/>
        <w:right w:val="none" w:sz="0" w:space="0" w:color="auto"/>
      </w:divBdr>
    </w:div>
    <w:div w:id="810562620">
      <w:bodyDiv w:val="1"/>
      <w:marLeft w:val="0"/>
      <w:marRight w:val="0"/>
      <w:marTop w:val="0"/>
      <w:marBottom w:val="0"/>
      <w:divBdr>
        <w:top w:val="none" w:sz="0" w:space="0" w:color="auto"/>
        <w:left w:val="none" w:sz="0" w:space="0" w:color="auto"/>
        <w:bottom w:val="none" w:sz="0" w:space="0" w:color="auto"/>
        <w:right w:val="none" w:sz="0" w:space="0" w:color="auto"/>
      </w:divBdr>
    </w:div>
    <w:div w:id="814377107">
      <w:bodyDiv w:val="1"/>
      <w:marLeft w:val="0"/>
      <w:marRight w:val="0"/>
      <w:marTop w:val="0"/>
      <w:marBottom w:val="0"/>
      <w:divBdr>
        <w:top w:val="none" w:sz="0" w:space="0" w:color="auto"/>
        <w:left w:val="none" w:sz="0" w:space="0" w:color="auto"/>
        <w:bottom w:val="none" w:sz="0" w:space="0" w:color="auto"/>
        <w:right w:val="none" w:sz="0" w:space="0" w:color="auto"/>
      </w:divBdr>
    </w:div>
    <w:div w:id="826746766">
      <w:bodyDiv w:val="1"/>
      <w:marLeft w:val="0"/>
      <w:marRight w:val="0"/>
      <w:marTop w:val="0"/>
      <w:marBottom w:val="0"/>
      <w:divBdr>
        <w:top w:val="none" w:sz="0" w:space="0" w:color="auto"/>
        <w:left w:val="none" w:sz="0" w:space="0" w:color="auto"/>
        <w:bottom w:val="none" w:sz="0" w:space="0" w:color="auto"/>
        <w:right w:val="none" w:sz="0" w:space="0" w:color="auto"/>
      </w:divBdr>
      <w:divsChild>
        <w:div w:id="217981388">
          <w:marLeft w:val="0"/>
          <w:marRight w:val="0"/>
          <w:marTop w:val="120"/>
          <w:marBottom w:val="120"/>
          <w:divBdr>
            <w:top w:val="none" w:sz="0" w:space="0" w:color="auto"/>
            <w:left w:val="none" w:sz="0" w:space="0" w:color="auto"/>
            <w:bottom w:val="none" w:sz="0" w:space="0" w:color="auto"/>
            <w:right w:val="none" w:sz="0" w:space="0" w:color="auto"/>
          </w:divBdr>
        </w:div>
        <w:div w:id="1350251597">
          <w:marLeft w:val="0"/>
          <w:marRight w:val="0"/>
          <w:marTop w:val="120"/>
          <w:marBottom w:val="120"/>
          <w:divBdr>
            <w:top w:val="none" w:sz="0" w:space="0" w:color="auto"/>
            <w:left w:val="none" w:sz="0" w:space="0" w:color="auto"/>
            <w:bottom w:val="none" w:sz="0" w:space="0" w:color="auto"/>
            <w:right w:val="none" w:sz="0" w:space="0" w:color="auto"/>
          </w:divBdr>
        </w:div>
      </w:divsChild>
    </w:div>
    <w:div w:id="827743148">
      <w:bodyDiv w:val="1"/>
      <w:marLeft w:val="0"/>
      <w:marRight w:val="0"/>
      <w:marTop w:val="0"/>
      <w:marBottom w:val="0"/>
      <w:divBdr>
        <w:top w:val="none" w:sz="0" w:space="0" w:color="auto"/>
        <w:left w:val="none" w:sz="0" w:space="0" w:color="auto"/>
        <w:bottom w:val="none" w:sz="0" w:space="0" w:color="auto"/>
        <w:right w:val="none" w:sz="0" w:space="0" w:color="auto"/>
      </w:divBdr>
    </w:div>
    <w:div w:id="830566128">
      <w:bodyDiv w:val="1"/>
      <w:marLeft w:val="0"/>
      <w:marRight w:val="0"/>
      <w:marTop w:val="0"/>
      <w:marBottom w:val="0"/>
      <w:divBdr>
        <w:top w:val="none" w:sz="0" w:space="0" w:color="auto"/>
        <w:left w:val="none" w:sz="0" w:space="0" w:color="auto"/>
        <w:bottom w:val="none" w:sz="0" w:space="0" w:color="auto"/>
        <w:right w:val="none" w:sz="0" w:space="0" w:color="auto"/>
      </w:divBdr>
      <w:divsChild>
        <w:div w:id="960958339">
          <w:marLeft w:val="0"/>
          <w:marRight w:val="0"/>
          <w:marTop w:val="120"/>
          <w:marBottom w:val="120"/>
          <w:divBdr>
            <w:top w:val="none" w:sz="0" w:space="0" w:color="auto"/>
            <w:left w:val="none" w:sz="0" w:space="0" w:color="auto"/>
            <w:bottom w:val="none" w:sz="0" w:space="0" w:color="auto"/>
            <w:right w:val="none" w:sz="0" w:space="0" w:color="auto"/>
          </w:divBdr>
        </w:div>
      </w:divsChild>
    </w:div>
    <w:div w:id="861552089">
      <w:bodyDiv w:val="1"/>
      <w:marLeft w:val="0"/>
      <w:marRight w:val="0"/>
      <w:marTop w:val="0"/>
      <w:marBottom w:val="0"/>
      <w:divBdr>
        <w:top w:val="none" w:sz="0" w:space="0" w:color="auto"/>
        <w:left w:val="none" w:sz="0" w:space="0" w:color="auto"/>
        <w:bottom w:val="none" w:sz="0" w:space="0" w:color="auto"/>
        <w:right w:val="none" w:sz="0" w:space="0" w:color="auto"/>
      </w:divBdr>
    </w:div>
    <w:div w:id="868958621">
      <w:bodyDiv w:val="1"/>
      <w:marLeft w:val="0"/>
      <w:marRight w:val="0"/>
      <w:marTop w:val="0"/>
      <w:marBottom w:val="0"/>
      <w:divBdr>
        <w:top w:val="none" w:sz="0" w:space="0" w:color="auto"/>
        <w:left w:val="none" w:sz="0" w:space="0" w:color="auto"/>
        <w:bottom w:val="none" w:sz="0" w:space="0" w:color="auto"/>
        <w:right w:val="none" w:sz="0" w:space="0" w:color="auto"/>
      </w:divBdr>
      <w:divsChild>
        <w:div w:id="507256999">
          <w:marLeft w:val="0"/>
          <w:marRight w:val="0"/>
          <w:marTop w:val="120"/>
          <w:marBottom w:val="120"/>
          <w:divBdr>
            <w:top w:val="none" w:sz="0" w:space="0" w:color="auto"/>
            <w:left w:val="none" w:sz="0" w:space="0" w:color="auto"/>
            <w:bottom w:val="none" w:sz="0" w:space="0" w:color="auto"/>
            <w:right w:val="none" w:sz="0" w:space="0" w:color="auto"/>
          </w:divBdr>
        </w:div>
      </w:divsChild>
    </w:div>
    <w:div w:id="869295007">
      <w:bodyDiv w:val="1"/>
      <w:marLeft w:val="0"/>
      <w:marRight w:val="0"/>
      <w:marTop w:val="0"/>
      <w:marBottom w:val="0"/>
      <w:divBdr>
        <w:top w:val="none" w:sz="0" w:space="0" w:color="auto"/>
        <w:left w:val="none" w:sz="0" w:space="0" w:color="auto"/>
        <w:bottom w:val="none" w:sz="0" w:space="0" w:color="auto"/>
        <w:right w:val="none" w:sz="0" w:space="0" w:color="auto"/>
      </w:divBdr>
      <w:divsChild>
        <w:div w:id="188301053">
          <w:marLeft w:val="0"/>
          <w:marRight w:val="0"/>
          <w:marTop w:val="120"/>
          <w:marBottom w:val="120"/>
          <w:divBdr>
            <w:top w:val="none" w:sz="0" w:space="0" w:color="auto"/>
            <w:left w:val="none" w:sz="0" w:space="0" w:color="auto"/>
            <w:bottom w:val="none" w:sz="0" w:space="0" w:color="auto"/>
            <w:right w:val="none" w:sz="0" w:space="0" w:color="auto"/>
          </w:divBdr>
        </w:div>
        <w:div w:id="589194862">
          <w:marLeft w:val="0"/>
          <w:marRight w:val="0"/>
          <w:marTop w:val="120"/>
          <w:marBottom w:val="120"/>
          <w:divBdr>
            <w:top w:val="none" w:sz="0" w:space="0" w:color="auto"/>
            <w:left w:val="none" w:sz="0" w:space="0" w:color="auto"/>
            <w:bottom w:val="none" w:sz="0" w:space="0" w:color="auto"/>
            <w:right w:val="none" w:sz="0" w:space="0" w:color="auto"/>
          </w:divBdr>
        </w:div>
        <w:div w:id="774399608">
          <w:marLeft w:val="0"/>
          <w:marRight w:val="0"/>
          <w:marTop w:val="120"/>
          <w:marBottom w:val="120"/>
          <w:divBdr>
            <w:top w:val="none" w:sz="0" w:space="0" w:color="auto"/>
            <w:left w:val="none" w:sz="0" w:space="0" w:color="auto"/>
            <w:bottom w:val="none" w:sz="0" w:space="0" w:color="auto"/>
            <w:right w:val="none" w:sz="0" w:space="0" w:color="auto"/>
          </w:divBdr>
        </w:div>
        <w:div w:id="886181912">
          <w:marLeft w:val="0"/>
          <w:marRight w:val="0"/>
          <w:marTop w:val="120"/>
          <w:marBottom w:val="120"/>
          <w:divBdr>
            <w:top w:val="none" w:sz="0" w:space="0" w:color="auto"/>
            <w:left w:val="none" w:sz="0" w:space="0" w:color="auto"/>
            <w:bottom w:val="none" w:sz="0" w:space="0" w:color="auto"/>
            <w:right w:val="none" w:sz="0" w:space="0" w:color="auto"/>
          </w:divBdr>
        </w:div>
        <w:div w:id="939214554">
          <w:marLeft w:val="0"/>
          <w:marRight w:val="0"/>
          <w:marTop w:val="120"/>
          <w:marBottom w:val="120"/>
          <w:divBdr>
            <w:top w:val="none" w:sz="0" w:space="0" w:color="auto"/>
            <w:left w:val="none" w:sz="0" w:space="0" w:color="auto"/>
            <w:bottom w:val="none" w:sz="0" w:space="0" w:color="auto"/>
            <w:right w:val="none" w:sz="0" w:space="0" w:color="auto"/>
          </w:divBdr>
        </w:div>
        <w:div w:id="1250584007">
          <w:marLeft w:val="0"/>
          <w:marRight w:val="0"/>
          <w:marTop w:val="120"/>
          <w:marBottom w:val="120"/>
          <w:divBdr>
            <w:top w:val="none" w:sz="0" w:space="0" w:color="auto"/>
            <w:left w:val="none" w:sz="0" w:space="0" w:color="auto"/>
            <w:bottom w:val="none" w:sz="0" w:space="0" w:color="auto"/>
            <w:right w:val="none" w:sz="0" w:space="0" w:color="auto"/>
          </w:divBdr>
        </w:div>
        <w:div w:id="1768383952">
          <w:marLeft w:val="0"/>
          <w:marRight w:val="0"/>
          <w:marTop w:val="120"/>
          <w:marBottom w:val="120"/>
          <w:divBdr>
            <w:top w:val="none" w:sz="0" w:space="0" w:color="auto"/>
            <w:left w:val="none" w:sz="0" w:space="0" w:color="auto"/>
            <w:bottom w:val="none" w:sz="0" w:space="0" w:color="auto"/>
            <w:right w:val="none" w:sz="0" w:space="0" w:color="auto"/>
          </w:divBdr>
        </w:div>
        <w:div w:id="2048985027">
          <w:marLeft w:val="0"/>
          <w:marRight w:val="0"/>
          <w:marTop w:val="120"/>
          <w:marBottom w:val="120"/>
          <w:divBdr>
            <w:top w:val="none" w:sz="0" w:space="0" w:color="auto"/>
            <w:left w:val="none" w:sz="0" w:space="0" w:color="auto"/>
            <w:bottom w:val="none" w:sz="0" w:space="0" w:color="auto"/>
            <w:right w:val="none" w:sz="0" w:space="0" w:color="auto"/>
          </w:divBdr>
        </w:div>
      </w:divsChild>
    </w:div>
    <w:div w:id="869534679">
      <w:bodyDiv w:val="1"/>
      <w:marLeft w:val="0"/>
      <w:marRight w:val="0"/>
      <w:marTop w:val="0"/>
      <w:marBottom w:val="0"/>
      <w:divBdr>
        <w:top w:val="none" w:sz="0" w:space="0" w:color="auto"/>
        <w:left w:val="none" w:sz="0" w:space="0" w:color="auto"/>
        <w:bottom w:val="none" w:sz="0" w:space="0" w:color="auto"/>
        <w:right w:val="none" w:sz="0" w:space="0" w:color="auto"/>
      </w:divBdr>
    </w:div>
    <w:div w:id="877010647">
      <w:bodyDiv w:val="1"/>
      <w:marLeft w:val="0"/>
      <w:marRight w:val="0"/>
      <w:marTop w:val="0"/>
      <w:marBottom w:val="0"/>
      <w:divBdr>
        <w:top w:val="none" w:sz="0" w:space="0" w:color="auto"/>
        <w:left w:val="none" w:sz="0" w:space="0" w:color="auto"/>
        <w:bottom w:val="none" w:sz="0" w:space="0" w:color="auto"/>
        <w:right w:val="none" w:sz="0" w:space="0" w:color="auto"/>
      </w:divBdr>
      <w:divsChild>
        <w:div w:id="256016364">
          <w:marLeft w:val="0"/>
          <w:marRight w:val="0"/>
          <w:marTop w:val="120"/>
          <w:marBottom w:val="120"/>
          <w:divBdr>
            <w:top w:val="none" w:sz="0" w:space="0" w:color="auto"/>
            <w:left w:val="none" w:sz="0" w:space="0" w:color="auto"/>
            <w:bottom w:val="none" w:sz="0" w:space="0" w:color="auto"/>
            <w:right w:val="none" w:sz="0" w:space="0" w:color="auto"/>
          </w:divBdr>
        </w:div>
      </w:divsChild>
    </w:div>
    <w:div w:id="887376456">
      <w:bodyDiv w:val="1"/>
      <w:marLeft w:val="0"/>
      <w:marRight w:val="0"/>
      <w:marTop w:val="0"/>
      <w:marBottom w:val="0"/>
      <w:divBdr>
        <w:top w:val="none" w:sz="0" w:space="0" w:color="auto"/>
        <w:left w:val="none" w:sz="0" w:space="0" w:color="auto"/>
        <w:bottom w:val="none" w:sz="0" w:space="0" w:color="auto"/>
        <w:right w:val="none" w:sz="0" w:space="0" w:color="auto"/>
      </w:divBdr>
    </w:div>
    <w:div w:id="895437443">
      <w:bodyDiv w:val="1"/>
      <w:marLeft w:val="0"/>
      <w:marRight w:val="0"/>
      <w:marTop w:val="0"/>
      <w:marBottom w:val="0"/>
      <w:divBdr>
        <w:top w:val="none" w:sz="0" w:space="0" w:color="auto"/>
        <w:left w:val="none" w:sz="0" w:space="0" w:color="auto"/>
        <w:bottom w:val="none" w:sz="0" w:space="0" w:color="auto"/>
        <w:right w:val="none" w:sz="0" w:space="0" w:color="auto"/>
      </w:divBdr>
      <w:divsChild>
        <w:div w:id="6371643">
          <w:marLeft w:val="0"/>
          <w:marRight w:val="0"/>
          <w:marTop w:val="120"/>
          <w:marBottom w:val="120"/>
          <w:divBdr>
            <w:top w:val="none" w:sz="0" w:space="0" w:color="auto"/>
            <w:left w:val="none" w:sz="0" w:space="0" w:color="auto"/>
            <w:bottom w:val="none" w:sz="0" w:space="0" w:color="auto"/>
            <w:right w:val="none" w:sz="0" w:space="0" w:color="auto"/>
          </w:divBdr>
        </w:div>
      </w:divsChild>
    </w:div>
    <w:div w:id="898514617">
      <w:bodyDiv w:val="1"/>
      <w:marLeft w:val="0"/>
      <w:marRight w:val="0"/>
      <w:marTop w:val="0"/>
      <w:marBottom w:val="0"/>
      <w:divBdr>
        <w:top w:val="none" w:sz="0" w:space="0" w:color="auto"/>
        <w:left w:val="none" w:sz="0" w:space="0" w:color="auto"/>
        <w:bottom w:val="none" w:sz="0" w:space="0" w:color="auto"/>
        <w:right w:val="none" w:sz="0" w:space="0" w:color="auto"/>
      </w:divBdr>
      <w:divsChild>
        <w:div w:id="772283512">
          <w:marLeft w:val="0"/>
          <w:marRight w:val="0"/>
          <w:marTop w:val="0"/>
          <w:marBottom w:val="0"/>
          <w:divBdr>
            <w:top w:val="none" w:sz="0" w:space="0" w:color="auto"/>
            <w:left w:val="none" w:sz="0" w:space="0" w:color="auto"/>
            <w:bottom w:val="none" w:sz="0" w:space="0" w:color="auto"/>
            <w:right w:val="none" w:sz="0" w:space="0" w:color="auto"/>
          </w:divBdr>
          <w:divsChild>
            <w:div w:id="1858812997">
              <w:marLeft w:val="0"/>
              <w:marRight w:val="0"/>
              <w:marTop w:val="0"/>
              <w:marBottom w:val="0"/>
              <w:divBdr>
                <w:top w:val="none" w:sz="0" w:space="0" w:color="auto"/>
                <w:left w:val="none" w:sz="0" w:space="0" w:color="auto"/>
                <w:bottom w:val="none" w:sz="0" w:space="0" w:color="auto"/>
                <w:right w:val="none" w:sz="0" w:space="0" w:color="auto"/>
              </w:divBdr>
              <w:divsChild>
                <w:div w:id="1618683125">
                  <w:marLeft w:val="0"/>
                  <w:marRight w:val="0"/>
                  <w:marTop w:val="0"/>
                  <w:marBottom w:val="0"/>
                  <w:divBdr>
                    <w:top w:val="none" w:sz="0" w:space="0" w:color="auto"/>
                    <w:left w:val="none" w:sz="0" w:space="0" w:color="auto"/>
                    <w:bottom w:val="none" w:sz="0" w:space="0" w:color="auto"/>
                    <w:right w:val="none" w:sz="0" w:space="0" w:color="auto"/>
                  </w:divBdr>
                  <w:divsChild>
                    <w:div w:id="303848981">
                      <w:marLeft w:val="0"/>
                      <w:marRight w:val="0"/>
                      <w:marTop w:val="0"/>
                      <w:marBottom w:val="0"/>
                      <w:divBdr>
                        <w:top w:val="none" w:sz="0" w:space="0" w:color="auto"/>
                        <w:left w:val="none" w:sz="0" w:space="0" w:color="auto"/>
                        <w:bottom w:val="none" w:sz="0" w:space="0" w:color="auto"/>
                        <w:right w:val="none" w:sz="0" w:space="0" w:color="auto"/>
                      </w:divBdr>
                      <w:divsChild>
                        <w:div w:id="567349850">
                          <w:marLeft w:val="0"/>
                          <w:marRight w:val="0"/>
                          <w:marTop w:val="0"/>
                          <w:marBottom w:val="0"/>
                          <w:divBdr>
                            <w:top w:val="none" w:sz="0" w:space="0" w:color="auto"/>
                            <w:left w:val="none" w:sz="0" w:space="0" w:color="auto"/>
                            <w:bottom w:val="none" w:sz="0" w:space="0" w:color="auto"/>
                            <w:right w:val="none" w:sz="0" w:space="0" w:color="auto"/>
                          </w:divBdr>
                          <w:divsChild>
                            <w:div w:id="1062368302">
                              <w:marLeft w:val="0"/>
                              <w:marRight w:val="0"/>
                              <w:marTop w:val="0"/>
                              <w:marBottom w:val="0"/>
                              <w:divBdr>
                                <w:top w:val="none" w:sz="0" w:space="0" w:color="auto"/>
                                <w:left w:val="none" w:sz="0" w:space="0" w:color="auto"/>
                                <w:bottom w:val="none" w:sz="0" w:space="0" w:color="auto"/>
                                <w:right w:val="none" w:sz="0" w:space="0" w:color="auto"/>
                              </w:divBdr>
                              <w:divsChild>
                                <w:div w:id="2091389544">
                                  <w:marLeft w:val="0"/>
                                  <w:marRight w:val="0"/>
                                  <w:marTop w:val="0"/>
                                  <w:marBottom w:val="0"/>
                                  <w:divBdr>
                                    <w:top w:val="none" w:sz="0" w:space="0" w:color="auto"/>
                                    <w:left w:val="none" w:sz="0" w:space="0" w:color="auto"/>
                                    <w:bottom w:val="none" w:sz="0" w:space="0" w:color="auto"/>
                                    <w:right w:val="none" w:sz="0" w:space="0" w:color="auto"/>
                                  </w:divBdr>
                                  <w:divsChild>
                                    <w:div w:id="639728051">
                                      <w:marLeft w:val="0"/>
                                      <w:marRight w:val="0"/>
                                      <w:marTop w:val="0"/>
                                      <w:marBottom w:val="0"/>
                                      <w:divBdr>
                                        <w:top w:val="none" w:sz="0" w:space="0" w:color="auto"/>
                                        <w:left w:val="none" w:sz="0" w:space="0" w:color="auto"/>
                                        <w:bottom w:val="none" w:sz="0" w:space="0" w:color="auto"/>
                                        <w:right w:val="none" w:sz="0" w:space="0" w:color="auto"/>
                                      </w:divBdr>
                                      <w:divsChild>
                                        <w:div w:id="565922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10390315">
      <w:bodyDiv w:val="1"/>
      <w:marLeft w:val="0"/>
      <w:marRight w:val="0"/>
      <w:marTop w:val="0"/>
      <w:marBottom w:val="0"/>
      <w:divBdr>
        <w:top w:val="none" w:sz="0" w:space="0" w:color="auto"/>
        <w:left w:val="none" w:sz="0" w:space="0" w:color="auto"/>
        <w:bottom w:val="none" w:sz="0" w:space="0" w:color="auto"/>
        <w:right w:val="none" w:sz="0" w:space="0" w:color="auto"/>
      </w:divBdr>
    </w:div>
    <w:div w:id="913665078">
      <w:bodyDiv w:val="1"/>
      <w:marLeft w:val="0"/>
      <w:marRight w:val="0"/>
      <w:marTop w:val="0"/>
      <w:marBottom w:val="0"/>
      <w:divBdr>
        <w:top w:val="none" w:sz="0" w:space="0" w:color="auto"/>
        <w:left w:val="none" w:sz="0" w:space="0" w:color="auto"/>
        <w:bottom w:val="none" w:sz="0" w:space="0" w:color="auto"/>
        <w:right w:val="none" w:sz="0" w:space="0" w:color="auto"/>
      </w:divBdr>
    </w:div>
    <w:div w:id="921256536">
      <w:bodyDiv w:val="1"/>
      <w:marLeft w:val="0"/>
      <w:marRight w:val="0"/>
      <w:marTop w:val="0"/>
      <w:marBottom w:val="0"/>
      <w:divBdr>
        <w:top w:val="none" w:sz="0" w:space="0" w:color="auto"/>
        <w:left w:val="none" w:sz="0" w:space="0" w:color="auto"/>
        <w:bottom w:val="none" w:sz="0" w:space="0" w:color="auto"/>
        <w:right w:val="none" w:sz="0" w:space="0" w:color="auto"/>
      </w:divBdr>
    </w:div>
    <w:div w:id="940376066">
      <w:bodyDiv w:val="1"/>
      <w:marLeft w:val="0"/>
      <w:marRight w:val="0"/>
      <w:marTop w:val="0"/>
      <w:marBottom w:val="0"/>
      <w:divBdr>
        <w:top w:val="none" w:sz="0" w:space="0" w:color="auto"/>
        <w:left w:val="none" w:sz="0" w:space="0" w:color="auto"/>
        <w:bottom w:val="none" w:sz="0" w:space="0" w:color="auto"/>
        <w:right w:val="none" w:sz="0" w:space="0" w:color="auto"/>
      </w:divBdr>
    </w:div>
    <w:div w:id="945886600">
      <w:bodyDiv w:val="1"/>
      <w:marLeft w:val="0"/>
      <w:marRight w:val="0"/>
      <w:marTop w:val="0"/>
      <w:marBottom w:val="0"/>
      <w:divBdr>
        <w:top w:val="none" w:sz="0" w:space="0" w:color="auto"/>
        <w:left w:val="none" w:sz="0" w:space="0" w:color="auto"/>
        <w:bottom w:val="none" w:sz="0" w:space="0" w:color="auto"/>
        <w:right w:val="none" w:sz="0" w:space="0" w:color="auto"/>
      </w:divBdr>
    </w:div>
    <w:div w:id="950165488">
      <w:bodyDiv w:val="1"/>
      <w:marLeft w:val="0"/>
      <w:marRight w:val="0"/>
      <w:marTop w:val="0"/>
      <w:marBottom w:val="0"/>
      <w:divBdr>
        <w:top w:val="none" w:sz="0" w:space="0" w:color="auto"/>
        <w:left w:val="none" w:sz="0" w:space="0" w:color="auto"/>
        <w:bottom w:val="none" w:sz="0" w:space="0" w:color="auto"/>
        <w:right w:val="none" w:sz="0" w:space="0" w:color="auto"/>
      </w:divBdr>
      <w:divsChild>
        <w:div w:id="44987408">
          <w:marLeft w:val="0"/>
          <w:marRight w:val="0"/>
          <w:marTop w:val="120"/>
          <w:marBottom w:val="120"/>
          <w:divBdr>
            <w:top w:val="none" w:sz="0" w:space="0" w:color="auto"/>
            <w:left w:val="none" w:sz="0" w:space="0" w:color="auto"/>
            <w:bottom w:val="none" w:sz="0" w:space="0" w:color="auto"/>
            <w:right w:val="none" w:sz="0" w:space="0" w:color="auto"/>
          </w:divBdr>
        </w:div>
      </w:divsChild>
    </w:div>
    <w:div w:id="952253122">
      <w:bodyDiv w:val="1"/>
      <w:marLeft w:val="0"/>
      <w:marRight w:val="0"/>
      <w:marTop w:val="0"/>
      <w:marBottom w:val="0"/>
      <w:divBdr>
        <w:top w:val="none" w:sz="0" w:space="0" w:color="auto"/>
        <w:left w:val="none" w:sz="0" w:space="0" w:color="auto"/>
        <w:bottom w:val="none" w:sz="0" w:space="0" w:color="auto"/>
        <w:right w:val="none" w:sz="0" w:space="0" w:color="auto"/>
      </w:divBdr>
      <w:divsChild>
        <w:div w:id="86585726">
          <w:marLeft w:val="0"/>
          <w:marRight w:val="0"/>
          <w:marTop w:val="120"/>
          <w:marBottom w:val="120"/>
          <w:divBdr>
            <w:top w:val="none" w:sz="0" w:space="0" w:color="auto"/>
            <w:left w:val="none" w:sz="0" w:space="0" w:color="auto"/>
            <w:bottom w:val="none" w:sz="0" w:space="0" w:color="auto"/>
            <w:right w:val="none" w:sz="0" w:space="0" w:color="auto"/>
          </w:divBdr>
        </w:div>
        <w:div w:id="1272662965">
          <w:marLeft w:val="0"/>
          <w:marRight w:val="0"/>
          <w:marTop w:val="120"/>
          <w:marBottom w:val="120"/>
          <w:divBdr>
            <w:top w:val="none" w:sz="0" w:space="0" w:color="auto"/>
            <w:left w:val="none" w:sz="0" w:space="0" w:color="auto"/>
            <w:bottom w:val="none" w:sz="0" w:space="0" w:color="auto"/>
            <w:right w:val="none" w:sz="0" w:space="0" w:color="auto"/>
          </w:divBdr>
        </w:div>
      </w:divsChild>
    </w:div>
    <w:div w:id="962077758">
      <w:bodyDiv w:val="1"/>
      <w:marLeft w:val="0"/>
      <w:marRight w:val="0"/>
      <w:marTop w:val="0"/>
      <w:marBottom w:val="0"/>
      <w:divBdr>
        <w:top w:val="none" w:sz="0" w:space="0" w:color="auto"/>
        <w:left w:val="none" w:sz="0" w:space="0" w:color="auto"/>
        <w:bottom w:val="none" w:sz="0" w:space="0" w:color="auto"/>
        <w:right w:val="none" w:sz="0" w:space="0" w:color="auto"/>
      </w:divBdr>
    </w:div>
    <w:div w:id="984359771">
      <w:bodyDiv w:val="1"/>
      <w:marLeft w:val="0"/>
      <w:marRight w:val="0"/>
      <w:marTop w:val="0"/>
      <w:marBottom w:val="0"/>
      <w:divBdr>
        <w:top w:val="none" w:sz="0" w:space="0" w:color="auto"/>
        <w:left w:val="none" w:sz="0" w:space="0" w:color="auto"/>
        <w:bottom w:val="none" w:sz="0" w:space="0" w:color="auto"/>
        <w:right w:val="none" w:sz="0" w:space="0" w:color="auto"/>
      </w:divBdr>
    </w:div>
    <w:div w:id="989095523">
      <w:bodyDiv w:val="1"/>
      <w:marLeft w:val="0"/>
      <w:marRight w:val="0"/>
      <w:marTop w:val="0"/>
      <w:marBottom w:val="0"/>
      <w:divBdr>
        <w:top w:val="none" w:sz="0" w:space="0" w:color="auto"/>
        <w:left w:val="none" w:sz="0" w:space="0" w:color="auto"/>
        <w:bottom w:val="none" w:sz="0" w:space="0" w:color="auto"/>
        <w:right w:val="none" w:sz="0" w:space="0" w:color="auto"/>
      </w:divBdr>
      <w:divsChild>
        <w:div w:id="150559708">
          <w:marLeft w:val="0"/>
          <w:marRight w:val="0"/>
          <w:marTop w:val="120"/>
          <w:marBottom w:val="120"/>
          <w:divBdr>
            <w:top w:val="none" w:sz="0" w:space="0" w:color="auto"/>
            <w:left w:val="none" w:sz="0" w:space="0" w:color="auto"/>
            <w:bottom w:val="none" w:sz="0" w:space="0" w:color="auto"/>
            <w:right w:val="none" w:sz="0" w:space="0" w:color="auto"/>
          </w:divBdr>
        </w:div>
      </w:divsChild>
    </w:div>
    <w:div w:id="993412693">
      <w:bodyDiv w:val="1"/>
      <w:marLeft w:val="0"/>
      <w:marRight w:val="0"/>
      <w:marTop w:val="0"/>
      <w:marBottom w:val="0"/>
      <w:divBdr>
        <w:top w:val="none" w:sz="0" w:space="0" w:color="auto"/>
        <w:left w:val="none" w:sz="0" w:space="0" w:color="auto"/>
        <w:bottom w:val="none" w:sz="0" w:space="0" w:color="auto"/>
        <w:right w:val="none" w:sz="0" w:space="0" w:color="auto"/>
      </w:divBdr>
    </w:div>
    <w:div w:id="997882539">
      <w:bodyDiv w:val="1"/>
      <w:marLeft w:val="0"/>
      <w:marRight w:val="0"/>
      <w:marTop w:val="0"/>
      <w:marBottom w:val="0"/>
      <w:divBdr>
        <w:top w:val="none" w:sz="0" w:space="0" w:color="auto"/>
        <w:left w:val="none" w:sz="0" w:space="0" w:color="auto"/>
        <w:bottom w:val="none" w:sz="0" w:space="0" w:color="auto"/>
        <w:right w:val="none" w:sz="0" w:space="0" w:color="auto"/>
      </w:divBdr>
    </w:div>
    <w:div w:id="999963782">
      <w:bodyDiv w:val="1"/>
      <w:marLeft w:val="0"/>
      <w:marRight w:val="0"/>
      <w:marTop w:val="0"/>
      <w:marBottom w:val="0"/>
      <w:divBdr>
        <w:top w:val="none" w:sz="0" w:space="0" w:color="auto"/>
        <w:left w:val="none" w:sz="0" w:space="0" w:color="auto"/>
        <w:bottom w:val="none" w:sz="0" w:space="0" w:color="auto"/>
        <w:right w:val="none" w:sz="0" w:space="0" w:color="auto"/>
      </w:divBdr>
      <w:divsChild>
        <w:div w:id="660431944">
          <w:marLeft w:val="0"/>
          <w:marRight w:val="0"/>
          <w:marTop w:val="120"/>
          <w:marBottom w:val="120"/>
          <w:divBdr>
            <w:top w:val="none" w:sz="0" w:space="0" w:color="auto"/>
            <w:left w:val="none" w:sz="0" w:space="0" w:color="auto"/>
            <w:bottom w:val="none" w:sz="0" w:space="0" w:color="auto"/>
            <w:right w:val="none" w:sz="0" w:space="0" w:color="auto"/>
          </w:divBdr>
        </w:div>
      </w:divsChild>
    </w:div>
    <w:div w:id="1007440554">
      <w:bodyDiv w:val="1"/>
      <w:marLeft w:val="0"/>
      <w:marRight w:val="0"/>
      <w:marTop w:val="0"/>
      <w:marBottom w:val="0"/>
      <w:divBdr>
        <w:top w:val="none" w:sz="0" w:space="0" w:color="auto"/>
        <w:left w:val="none" w:sz="0" w:space="0" w:color="auto"/>
        <w:bottom w:val="none" w:sz="0" w:space="0" w:color="auto"/>
        <w:right w:val="none" w:sz="0" w:space="0" w:color="auto"/>
      </w:divBdr>
    </w:div>
    <w:div w:id="1011949055">
      <w:bodyDiv w:val="1"/>
      <w:marLeft w:val="0"/>
      <w:marRight w:val="0"/>
      <w:marTop w:val="0"/>
      <w:marBottom w:val="0"/>
      <w:divBdr>
        <w:top w:val="none" w:sz="0" w:space="0" w:color="auto"/>
        <w:left w:val="none" w:sz="0" w:space="0" w:color="auto"/>
        <w:bottom w:val="none" w:sz="0" w:space="0" w:color="auto"/>
        <w:right w:val="none" w:sz="0" w:space="0" w:color="auto"/>
      </w:divBdr>
    </w:div>
    <w:div w:id="1037463696">
      <w:bodyDiv w:val="1"/>
      <w:marLeft w:val="0"/>
      <w:marRight w:val="0"/>
      <w:marTop w:val="0"/>
      <w:marBottom w:val="0"/>
      <w:divBdr>
        <w:top w:val="none" w:sz="0" w:space="0" w:color="auto"/>
        <w:left w:val="none" w:sz="0" w:space="0" w:color="auto"/>
        <w:bottom w:val="none" w:sz="0" w:space="0" w:color="auto"/>
        <w:right w:val="none" w:sz="0" w:space="0" w:color="auto"/>
      </w:divBdr>
      <w:divsChild>
        <w:div w:id="2009554352">
          <w:marLeft w:val="0"/>
          <w:marRight w:val="0"/>
          <w:marTop w:val="120"/>
          <w:marBottom w:val="120"/>
          <w:divBdr>
            <w:top w:val="none" w:sz="0" w:space="0" w:color="auto"/>
            <w:left w:val="none" w:sz="0" w:space="0" w:color="auto"/>
            <w:bottom w:val="none" w:sz="0" w:space="0" w:color="auto"/>
            <w:right w:val="none" w:sz="0" w:space="0" w:color="auto"/>
          </w:divBdr>
        </w:div>
      </w:divsChild>
    </w:div>
    <w:div w:id="1049067440">
      <w:bodyDiv w:val="1"/>
      <w:marLeft w:val="0"/>
      <w:marRight w:val="0"/>
      <w:marTop w:val="0"/>
      <w:marBottom w:val="0"/>
      <w:divBdr>
        <w:top w:val="none" w:sz="0" w:space="0" w:color="auto"/>
        <w:left w:val="none" w:sz="0" w:space="0" w:color="auto"/>
        <w:bottom w:val="none" w:sz="0" w:space="0" w:color="auto"/>
        <w:right w:val="none" w:sz="0" w:space="0" w:color="auto"/>
      </w:divBdr>
    </w:div>
    <w:div w:id="1070006446">
      <w:bodyDiv w:val="1"/>
      <w:marLeft w:val="0"/>
      <w:marRight w:val="0"/>
      <w:marTop w:val="0"/>
      <w:marBottom w:val="0"/>
      <w:divBdr>
        <w:top w:val="none" w:sz="0" w:space="0" w:color="auto"/>
        <w:left w:val="none" w:sz="0" w:space="0" w:color="auto"/>
        <w:bottom w:val="none" w:sz="0" w:space="0" w:color="auto"/>
        <w:right w:val="none" w:sz="0" w:space="0" w:color="auto"/>
      </w:divBdr>
      <w:divsChild>
        <w:div w:id="1828092598">
          <w:marLeft w:val="0"/>
          <w:marRight w:val="0"/>
          <w:marTop w:val="120"/>
          <w:marBottom w:val="120"/>
          <w:divBdr>
            <w:top w:val="none" w:sz="0" w:space="0" w:color="auto"/>
            <w:left w:val="none" w:sz="0" w:space="0" w:color="auto"/>
            <w:bottom w:val="none" w:sz="0" w:space="0" w:color="auto"/>
            <w:right w:val="none" w:sz="0" w:space="0" w:color="auto"/>
          </w:divBdr>
        </w:div>
      </w:divsChild>
    </w:div>
    <w:div w:id="1070151191">
      <w:bodyDiv w:val="1"/>
      <w:marLeft w:val="0"/>
      <w:marRight w:val="0"/>
      <w:marTop w:val="0"/>
      <w:marBottom w:val="0"/>
      <w:divBdr>
        <w:top w:val="none" w:sz="0" w:space="0" w:color="auto"/>
        <w:left w:val="none" w:sz="0" w:space="0" w:color="auto"/>
        <w:bottom w:val="none" w:sz="0" w:space="0" w:color="auto"/>
        <w:right w:val="none" w:sz="0" w:space="0" w:color="auto"/>
      </w:divBdr>
      <w:divsChild>
        <w:div w:id="606158497">
          <w:marLeft w:val="0"/>
          <w:marRight w:val="0"/>
          <w:marTop w:val="120"/>
          <w:marBottom w:val="120"/>
          <w:divBdr>
            <w:top w:val="none" w:sz="0" w:space="0" w:color="auto"/>
            <w:left w:val="none" w:sz="0" w:space="0" w:color="auto"/>
            <w:bottom w:val="none" w:sz="0" w:space="0" w:color="auto"/>
            <w:right w:val="none" w:sz="0" w:space="0" w:color="auto"/>
          </w:divBdr>
        </w:div>
        <w:div w:id="701780416">
          <w:marLeft w:val="0"/>
          <w:marRight w:val="0"/>
          <w:marTop w:val="120"/>
          <w:marBottom w:val="120"/>
          <w:divBdr>
            <w:top w:val="none" w:sz="0" w:space="0" w:color="auto"/>
            <w:left w:val="none" w:sz="0" w:space="0" w:color="auto"/>
            <w:bottom w:val="none" w:sz="0" w:space="0" w:color="auto"/>
            <w:right w:val="none" w:sz="0" w:space="0" w:color="auto"/>
          </w:divBdr>
        </w:div>
        <w:div w:id="924269065">
          <w:marLeft w:val="0"/>
          <w:marRight w:val="0"/>
          <w:marTop w:val="120"/>
          <w:marBottom w:val="120"/>
          <w:divBdr>
            <w:top w:val="none" w:sz="0" w:space="0" w:color="auto"/>
            <w:left w:val="none" w:sz="0" w:space="0" w:color="auto"/>
            <w:bottom w:val="none" w:sz="0" w:space="0" w:color="auto"/>
            <w:right w:val="none" w:sz="0" w:space="0" w:color="auto"/>
          </w:divBdr>
        </w:div>
        <w:div w:id="1176457800">
          <w:marLeft w:val="0"/>
          <w:marRight w:val="0"/>
          <w:marTop w:val="120"/>
          <w:marBottom w:val="120"/>
          <w:divBdr>
            <w:top w:val="none" w:sz="0" w:space="0" w:color="auto"/>
            <w:left w:val="none" w:sz="0" w:space="0" w:color="auto"/>
            <w:bottom w:val="none" w:sz="0" w:space="0" w:color="auto"/>
            <w:right w:val="none" w:sz="0" w:space="0" w:color="auto"/>
          </w:divBdr>
        </w:div>
        <w:div w:id="1318075121">
          <w:marLeft w:val="0"/>
          <w:marRight w:val="0"/>
          <w:marTop w:val="120"/>
          <w:marBottom w:val="120"/>
          <w:divBdr>
            <w:top w:val="none" w:sz="0" w:space="0" w:color="auto"/>
            <w:left w:val="none" w:sz="0" w:space="0" w:color="auto"/>
            <w:bottom w:val="none" w:sz="0" w:space="0" w:color="auto"/>
            <w:right w:val="none" w:sz="0" w:space="0" w:color="auto"/>
          </w:divBdr>
        </w:div>
        <w:div w:id="2021808138">
          <w:marLeft w:val="0"/>
          <w:marRight w:val="0"/>
          <w:marTop w:val="120"/>
          <w:marBottom w:val="120"/>
          <w:divBdr>
            <w:top w:val="none" w:sz="0" w:space="0" w:color="auto"/>
            <w:left w:val="none" w:sz="0" w:space="0" w:color="auto"/>
            <w:bottom w:val="none" w:sz="0" w:space="0" w:color="auto"/>
            <w:right w:val="none" w:sz="0" w:space="0" w:color="auto"/>
          </w:divBdr>
        </w:div>
      </w:divsChild>
    </w:div>
    <w:div w:id="1088119400">
      <w:bodyDiv w:val="1"/>
      <w:marLeft w:val="0"/>
      <w:marRight w:val="0"/>
      <w:marTop w:val="0"/>
      <w:marBottom w:val="0"/>
      <w:divBdr>
        <w:top w:val="none" w:sz="0" w:space="0" w:color="auto"/>
        <w:left w:val="none" w:sz="0" w:space="0" w:color="auto"/>
        <w:bottom w:val="none" w:sz="0" w:space="0" w:color="auto"/>
        <w:right w:val="none" w:sz="0" w:space="0" w:color="auto"/>
      </w:divBdr>
      <w:divsChild>
        <w:div w:id="669059882">
          <w:marLeft w:val="0"/>
          <w:marRight w:val="0"/>
          <w:marTop w:val="120"/>
          <w:marBottom w:val="120"/>
          <w:divBdr>
            <w:top w:val="none" w:sz="0" w:space="0" w:color="auto"/>
            <w:left w:val="none" w:sz="0" w:space="0" w:color="auto"/>
            <w:bottom w:val="none" w:sz="0" w:space="0" w:color="auto"/>
            <w:right w:val="none" w:sz="0" w:space="0" w:color="auto"/>
          </w:divBdr>
        </w:div>
        <w:div w:id="969017971">
          <w:marLeft w:val="0"/>
          <w:marRight w:val="0"/>
          <w:marTop w:val="120"/>
          <w:marBottom w:val="120"/>
          <w:divBdr>
            <w:top w:val="none" w:sz="0" w:space="0" w:color="auto"/>
            <w:left w:val="none" w:sz="0" w:space="0" w:color="auto"/>
            <w:bottom w:val="none" w:sz="0" w:space="0" w:color="auto"/>
            <w:right w:val="none" w:sz="0" w:space="0" w:color="auto"/>
          </w:divBdr>
        </w:div>
        <w:div w:id="1469400457">
          <w:marLeft w:val="0"/>
          <w:marRight w:val="0"/>
          <w:marTop w:val="120"/>
          <w:marBottom w:val="120"/>
          <w:divBdr>
            <w:top w:val="none" w:sz="0" w:space="0" w:color="auto"/>
            <w:left w:val="none" w:sz="0" w:space="0" w:color="auto"/>
            <w:bottom w:val="none" w:sz="0" w:space="0" w:color="auto"/>
            <w:right w:val="none" w:sz="0" w:space="0" w:color="auto"/>
          </w:divBdr>
        </w:div>
        <w:div w:id="1517690702">
          <w:marLeft w:val="0"/>
          <w:marRight w:val="0"/>
          <w:marTop w:val="120"/>
          <w:marBottom w:val="120"/>
          <w:divBdr>
            <w:top w:val="none" w:sz="0" w:space="0" w:color="auto"/>
            <w:left w:val="none" w:sz="0" w:space="0" w:color="auto"/>
            <w:bottom w:val="none" w:sz="0" w:space="0" w:color="auto"/>
            <w:right w:val="none" w:sz="0" w:space="0" w:color="auto"/>
          </w:divBdr>
        </w:div>
        <w:div w:id="1874532707">
          <w:marLeft w:val="0"/>
          <w:marRight w:val="0"/>
          <w:marTop w:val="120"/>
          <w:marBottom w:val="120"/>
          <w:divBdr>
            <w:top w:val="none" w:sz="0" w:space="0" w:color="auto"/>
            <w:left w:val="none" w:sz="0" w:space="0" w:color="auto"/>
            <w:bottom w:val="none" w:sz="0" w:space="0" w:color="auto"/>
            <w:right w:val="none" w:sz="0" w:space="0" w:color="auto"/>
          </w:divBdr>
        </w:div>
        <w:div w:id="1941524781">
          <w:marLeft w:val="0"/>
          <w:marRight w:val="0"/>
          <w:marTop w:val="120"/>
          <w:marBottom w:val="120"/>
          <w:divBdr>
            <w:top w:val="none" w:sz="0" w:space="0" w:color="auto"/>
            <w:left w:val="none" w:sz="0" w:space="0" w:color="auto"/>
            <w:bottom w:val="none" w:sz="0" w:space="0" w:color="auto"/>
            <w:right w:val="none" w:sz="0" w:space="0" w:color="auto"/>
          </w:divBdr>
        </w:div>
        <w:div w:id="1943997425">
          <w:marLeft w:val="0"/>
          <w:marRight w:val="0"/>
          <w:marTop w:val="120"/>
          <w:marBottom w:val="120"/>
          <w:divBdr>
            <w:top w:val="none" w:sz="0" w:space="0" w:color="auto"/>
            <w:left w:val="none" w:sz="0" w:space="0" w:color="auto"/>
            <w:bottom w:val="none" w:sz="0" w:space="0" w:color="auto"/>
            <w:right w:val="none" w:sz="0" w:space="0" w:color="auto"/>
          </w:divBdr>
        </w:div>
        <w:div w:id="2127842658">
          <w:marLeft w:val="0"/>
          <w:marRight w:val="0"/>
          <w:marTop w:val="120"/>
          <w:marBottom w:val="120"/>
          <w:divBdr>
            <w:top w:val="none" w:sz="0" w:space="0" w:color="auto"/>
            <w:left w:val="none" w:sz="0" w:space="0" w:color="auto"/>
            <w:bottom w:val="none" w:sz="0" w:space="0" w:color="auto"/>
            <w:right w:val="none" w:sz="0" w:space="0" w:color="auto"/>
          </w:divBdr>
        </w:div>
      </w:divsChild>
    </w:div>
    <w:div w:id="1095982952">
      <w:bodyDiv w:val="1"/>
      <w:marLeft w:val="0"/>
      <w:marRight w:val="0"/>
      <w:marTop w:val="0"/>
      <w:marBottom w:val="0"/>
      <w:divBdr>
        <w:top w:val="none" w:sz="0" w:space="0" w:color="auto"/>
        <w:left w:val="none" w:sz="0" w:space="0" w:color="auto"/>
        <w:bottom w:val="none" w:sz="0" w:space="0" w:color="auto"/>
        <w:right w:val="none" w:sz="0" w:space="0" w:color="auto"/>
      </w:divBdr>
      <w:divsChild>
        <w:div w:id="1116289660">
          <w:marLeft w:val="0"/>
          <w:marRight w:val="0"/>
          <w:marTop w:val="120"/>
          <w:marBottom w:val="120"/>
          <w:divBdr>
            <w:top w:val="none" w:sz="0" w:space="0" w:color="auto"/>
            <w:left w:val="none" w:sz="0" w:space="0" w:color="auto"/>
            <w:bottom w:val="none" w:sz="0" w:space="0" w:color="auto"/>
            <w:right w:val="none" w:sz="0" w:space="0" w:color="auto"/>
          </w:divBdr>
        </w:div>
      </w:divsChild>
    </w:div>
    <w:div w:id="1101796776">
      <w:bodyDiv w:val="1"/>
      <w:marLeft w:val="0"/>
      <w:marRight w:val="0"/>
      <w:marTop w:val="0"/>
      <w:marBottom w:val="0"/>
      <w:divBdr>
        <w:top w:val="none" w:sz="0" w:space="0" w:color="auto"/>
        <w:left w:val="none" w:sz="0" w:space="0" w:color="auto"/>
        <w:bottom w:val="none" w:sz="0" w:space="0" w:color="auto"/>
        <w:right w:val="none" w:sz="0" w:space="0" w:color="auto"/>
      </w:divBdr>
      <w:divsChild>
        <w:div w:id="706833527">
          <w:marLeft w:val="0"/>
          <w:marRight w:val="0"/>
          <w:marTop w:val="0"/>
          <w:marBottom w:val="0"/>
          <w:divBdr>
            <w:top w:val="none" w:sz="0" w:space="0" w:color="auto"/>
            <w:left w:val="none" w:sz="0" w:space="0" w:color="auto"/>
            <w:bottom w:val="none" w:sz="0" w:space="0" w:color="auto"/>
            <w:right w:val="none" w:sz="0" w:space="0" w:color="auto"/>
          </w:divBdr>
          <w:divsChild>
            <w:div w:id="585111668">
              <w:marLeft w:val="0"/>
              <w:marRight w:val="0"/>
              <w:marTop w:val="0"/>
              <w:marBottom w:val="0"/>
              <w:divBdr>
                <w:top w:val="none" w:sz="0" w:space="0" w:color="auto"/>
                <w:left w:val="none" w:sz="0" w:space="0" w:color="auto"/>
                <w:bottom w:val="none" w:sz="0" w:space="0" w:color="auto"/>
                <w:right w:val="none" w:sz="0" w:space="0" w:color="auto"/>
              </w:divBdr>
              <w:divsChild>
                <w:div w:id="1321079473">
                  <w:marLeft w:val="0"/>
                  <w:marRight w:val="0"/>
                  <w:marTop w:val="0"/>
                  <w:marBottom w:val="0"/>
                  <w:divBdr>
                    <w:top w:val="none" w:sz="0" w:space="0" w:color="auto"/>
                    <w:left w:val="none" w:sz="0" w:space="0" w:color="auto"/>
                    <w:bottom w:val="none" w:sz="0" w:space="0" w:color="auto"/>
                    <w:right w:val="none" w:sz="0" w:space="0" w:color="auto"/>
                  </w:divBdr>
                  <w:divsChild>
                    <w:div w:id="1948803374">
                      <w:marLeft w:val="0"/>
                      <w:marRight w:val="0"/>
                      <w:marTop w:val="0"/>
                      <w:marBottom w:val="0"/>
                      <w:divBdr>
                        <w:top w:val="none" w:sz="0" w:space="0" w:color="auto"/>
                        <w:left w:val="none" w:sz="0" w:space="0" w:color="auto"/>
                        <w:bottom w:val="none" w:sz="0" w:space="0" w:color="auto"/>
                        <w:right w:val="none" w:sz="0" w:space="0" w:color="auto"/>
                      </w:divBdr>
                      <w:divsChild>
                        <w:div w:id="1184632642">
                          <w:marLeft w:val="0"/>
                          <w:marRight w:val="0"/>
                          <w:marTop w:val="0"/>
                          <w:marBottom w:val="0"/>
                          <w:divBdr>
                            <w:top w:val="none" w:sz="0" w:space="0" w:color="auto"/>
                            <w:left w:val="none" w:sz="0" w:space="0" w:color="auto"/>
                            <w:bottom w:val="none" w:sz="0" w:space="0" w:color="auto"/>
                            <w:right w:val="none" w:sz="0" w:space="0" w:color="auto"/>
                          </w:divBdr>
                          <w:divsChild>
                            <w:div w:id="1459907390">
                              <w:marLeft w:val="0"/>
                              <w:marRight w:val="0"/>
                              <w:marTop w:val="0"/>
                              <w:marBottom w:val="0"/>
                              <w:divBdr>
                                <w:top w:val="none" w:sz="0" w:space="0" w:color="auto"/>
                                <w:left w:val="none" w:sz="0" w:space="0" w:color="auto"/>
                                <w:bottom w:val="none" w:sz="0" w:space="0" w:color="auto"/>
                                <w:right w:val="none" w:sz="0" w:space="0" w:color="auto"/>
                              </w:divBdr>
                              <w:divsChild>
                                <w:div w:id="69548308">
                                  <w:marLeft w:val="0"/>
                                  <w:marRight w:val="0"/>
                                  <w:marTop w:val="0"/>
                                  <w:marBottom w:val="0"/>
                                  <w:divBdr>
                                    <w:top w:val="none" w:sz="0" w:space="0" w:color="auto"/>
                                    <w:left w:val="none" w:sz="0" w:space="0" w:color="auto"/>
                                    <w:bottom w:val="none" w:sz="0" w:space="0" w:color="auto"/>
                                    <w:right w:val="none" w:sz="0" w:space="0" w:color="auto"/>
                                  </w:divBdr>
                                  <w:divsChild>
                                    <w:div w:id="1768193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05148867">
      <w:bodyDiv w:val="1"/>
      <w:marLeft w:val="0"/>
      <w:marRight w:val="0"/>
      <w:marTop w:val="0"/>
      <w:marBottom w:val="0"/>
      <w:divBdr>
        <w:top w:val="none" w:sz="0" w:space="0" w:color="auto"/>
        <w:left w:val="none" w:sz="0" w:space="0" w:color="auto"/>
        <w:bottom w:val="none" w:sz="0" w:space="0" w:color="auto"/>
        <w:right w:val="none" w:sz="0" w:space="0" w:color="auto"/>
      </w:divBdr>
    </w:div>
    <w:div w:id="1108308925">
      <w:bodyDiv w:val="1"/>
      <w:marLeft w:val="0"/>
      <w:marRight w:val="0"/>
      <w:marTop w:val="0"/>
      <w:marBottom w:val="0"/>
      <w:divBdr>
        <w:top w:val="none" w:sz="0" w:space="0" w:color="auto"/>
        <w:left w:val="none" w:sz="0" w:space="0" w:color="auto"/>
        <w:bottom w:val="none" w:sz="0" w:space="0" w:color="auto"/>
        <w:right w:val="none" w:sz="0" w:space="0" w:color="auto"/>
      </w:divBdr>
    </w:div>
    <w:div w:id="1108696319">
      <w:bodyDiv w:val="1"/>
      <w:marLeft w:val="0"/>
      <w:marRight w:val="0"/>
      <w:marTop w:val="0"/>
      <w:marBottom w:val="0"/>
      <w:divBdr>
        <w:top w:val="none" w:sz="0" w:space="0" w:color="auto"/>
        <w:left w:val="none" w:sz="0" w:space="0" w:color="auto"/>
        <w:bottom w:val="none" w:sz="0" w:space="0" w:color="auto"/>
        <w:right w:val="none" w:sz="0" w:space="0" w:color="auto"/>
      </w:divBdr>
      <w:divsChild>
        <w:div w:id="482548993">
          <w:marLeft w:val="0"/>
          <w:marRight w:val="0"/>
          <w:marTop w:val="120"/>
          <w:marBottom w:val="120"/>
          <w:divBdr>
            <w:top w:val="none" w:sz="0" w:space="0" w:color="auto"/>
            <w:left w:val="none" w:sz="0" w:space="0" w:color="auto"/>
            <w:bottom w:val="none" w:sz="0" w:space="0" w:color="auto"/>
            <w:right w:val="none" w:sz="0" w:space="0" w:color="auto"/>
          </w:divBdr>
        </w:div>
      </w:divsChild>
    </w:div>
    <w:div w:id="1116873478">
      <w:bodyDiv w:val="1"/>
      <w:marLeft w:val="0"/>
      <w:marRight w:val="0"/>
      <w:marTop w:val="0"/>
      <w:marBottom w:val="0"/>
      <w:divBdr>
        <w:top w:val="none" w:sz="0" w:space="0" w:color="auto"/>
        <w:left w:val="none" w:sz="0" w:space="0" w:color="auto"/>
        <w:bottom w:val="none" w:sz="0" w:space="0" w:color="auto"/>
        <w:right w:val="none" w:sz="0" w:space="0" w:color="auto"/>
      </w:divBdr>
    </w:div>
    <w:div w:id="1118135422">
      <w:bodyDiv w:val="1"/>
      <w:marLeft w:val="0"/>
      <w:marRight w:val="0"/>
      <w:marTop w:val="0"/>
      <w:marBottom w:val="0"/>
      <w:divBdr>
        <w:top w:val="none" w:sz="0" w:space="0" w:color="auto"/>
        <w:left w:val="none" w:sz="0" w:space="0" w:color="auto"/>
        <w:bottom w:val="none" w:sz="0" w:space="0" w:color="auto"/>
        <w:right w:val="none" w:sz="0" w:space="0" w:color="auto"/>
      </w:divBdr>
    </w:div>
    <w:div w:id="1118372273">
      <w:bodyDiv w:val="1"/>
      <w:marLeft w:val="0"/>
      <w:marRight w:val="0"/>
      <w:marTop w:val="0"/>
      <w:marBottom w:val="0"/>
      <w:divBdr>
        <w:top w:val="none" w:sz="0" w:space="0" w:color="auto"/>
        <w:left w:val="none" w:sz="0" w:space="0" w:color="auto"/>
        <w:bottom w:val="none" w:sz="0" w:space="0" w:color="auto"/>
        <w:right w:val="none" w:sz="0" w:space="0" w:color="auto"/>
      </w:divBdr>
    </w:div>
    <w:div w:id="1125542745">
      <w:bodyDiv w:val="1"/>
      <w:marLeft w:val="0"/>
      <w:marRight w:val="0"/>
      <w:marTop w:val="0"/>
      <w:marBottom w:val="0"/>
      <w:divBdr>
        <w:top w:val="none" w:sz="0" w:space="0" w:color="auto"/>
        <w:left w:val="none" w:sz="0" w:space="0" w:color="auto"/>
        <w:bottom w:val="none" w:sz="0" w:space="0" w:color="auto"/>
        <w:right w:val="none" w:sz="0" w:space="0" w:color="auto"/>
      </w:divBdr>
      <w:divsChild>
        <w:div w:id="1147937479">
          <w:marLeft w:val="0"/>
          <w:marRight w:val="0"/>
          <w:marTop w:val="120"/>
          <w:marBottom w:val="120"/>
          <w:divBdr>
            <w:top w:val="none" w:sz="0" w:space="0" w:color="auto"/>
            <w:left w:val="none" w:sz="0" w:space="0" w:color="auto"/>
            <w:bottom w:val="none" w:sz="0" w:space="0" w:color="auto"/>
            <w:right w:val="none" w:sz="0" w:space="0" w:color="auto"/>
          </w:divBdr>
        </w:div>
      </w:divsChild>
    </w:div>
    <w:div w:id="1163594228">
      <w:bodyDiv w:val="1"/>
      <w:marLeft w:val="0"/>
      <w:marRight w:val="0"/>
      <w:marTop w:val="0"/>
      <w:marBottom w:val="0"/>
      <w:divBdr>
        <w:top w:val="none" w:sz="0" w:space="0" w:color="auto"/>
        <w:left w:val="none" w:sz="0" w:space="0" w:color="auto"/>
        <w:bottom w:val="none" w:sz="0" w:space="0" w:color="auto"/>
        <w:right w:val="none" w:sz="0" w:space="0" w:color="auto"/>
      </w:divBdr>
      <w:divsChild>
        <w:div w:id="1298219552">
          <w:marLeft w:val="0"/>
          <w:marRight w:val="0"/>
          <w:marTop w:val="0"/>
          <w:marBottom w:val="0"/>
          <w:divBdr>
            <w:top w:val="none" w:sz="0" w:space="0" w:color="auto"/>
            <w:left w:val="none" w:sz="0" w:space="0" w:color="auto"/>
            <w:bottom w:val="none" w:sz="0" w:space="0" w:color="auto"/>
            <w:right w:val="none" w:sz="0" w:space="0" w:color="auto"/>
          </w:divBdr>
          <w:divsChild>
            <w:div w:id="852843091">
              <w:marLeft w:val="0"/>
              <w:marRight w:val="0"/>
              <w:marTop w:val="0"/>
              <w:marBottom w:val="0"/>
              <w:divBdr>
                <w:top w:val="none" w:sz="0" w:space="0" w:color="auto"/>
                <w:left w:val="none" w:sz="0" w:space="0" w:color="auto"/>
                <w:bottom w:val="none" w:sz="0" w:space="0" w:color="auto"/>
                <w:right w:val="none" w:sz="0" w:space="0" w:color="auto"/>
              </w:divBdr>
              <w:divsChild>
                <w:div w:id="281226328">
                  <w:marLeft w:val="0"/>
                  <w:marRight w:val="0"/>
                  <w:marTop w:val="0"/>
                  <w:marBottom w:val="0"/>
                  <w:divBdr>
                    <w:top w:val="none" w:sz="0" w:space="0" w:color="auto"/>
                    <w:left w:val="single" w:sz="12" w:space="9" w:color="D9D9D9"/>
                    <w:bottom w:val="none" w:sz="0" w:space="0" w:color="auto"/>
                    <w:right w:val="none" w:sz="0" w:space="0" w:color="auto"/>
                  </w:divBdr>
                  <w:divsChild>
                    <w:div w:id="983967300">
                      <w:marLeft w:val="0"/>
                      <w:marRight w:val="0"/>
                      <w:marTop w:val="0"/>
                      <w:marBottom w:val="0"/>
                      <w:divBdr>
                        <w:top w:val="none" w:sz="0" w:space="0" w:color="auto"/>
                        <w:left w:val="none" w:sz="0" w:space="0" w:color="auto"/>
                        <w:bottom w:val="none" w:sz="0" w:space="0" w:color="auto"/>
                        <w:right w:val="none" w:sz="0" w:space="0" w:color="auto"/>
                      </w:divBdr>
                      <w:divsChild>
                        <w:div w:id="1340809588">
                          <w:marLeft w:val="0"/>
                          <w:marRight w:val="0"/>
                          <w:marTop w:val="0"/>
                          <w:marBottom w:val="0"/>
                          <w:divBdr>
                            <w:top w:val="none" w:sz="0" w:space="0" w:color="auto"/>
                            <w:left w:val="none" w:sz="0" w:space="0" w:color="auto"/>
                            <w:bottom w:val="none" w:sz="0" w:space="0" w:color="auto"/>
                            <w:right w:val="none" w:sz="0" w:space="0" w:color="auto"/>
                          </w:divBdr>
                        </w:div>
                        <w:div w:id="1819108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5192660">
      <w:bodyDiv w:val="1"/>
      <w:marLeft w:val="0"/>
      <w:marRight w:val="0"/>
      <w:marTop w:val="0"/>
      <w:marBottom w:val="0"/>
      <w:divBdr>
        <w:top w:val="none" w:sz="0" w:space="0" w:color="auto"/>
        <w:left w:val="none" w:sz="0" w:space="0" w:color="auto"/>
        <w:bottom w:val="none" w:sz="0" w:space="0" w:color="auto"/>
        <w:right w:val="none" w:sz="0" w:space="0" w:color="auto"/>
      </w:divBdr>
      <w:divsChild>
        <w:div w:id="409155155">
          <w:marLeft w:val="0"/>
          <w:marRight w:val="0"/>
          <w:marTop w:val="120"/>
          <w:marBottom w:val="120"/>
          <w:divBdr>
            <w:top w:val="none" w:sz="0" w:space="0" w:color="auto"/>
            <w:left w:val="none" w:sz="0" w:space="0" w:color="auto"/>
            <w:bottom w:val="none" w:sz="0" w:space="0" w:color="auto"/>
            <w:right w:val="none" w:sz="0" w:space="0" w:color="auto"/>
          </w:divBdr>
        </w:div>
        <w:div w:id="566574710">
          <w:marLeft w:val="0"/>
          <w:marRight w:val="0"/>
          <w:marTop w:val="120"/>
          <w:marBottom w:val="120"/>
          <w:divBdr>
            <w:top w:val="none" w:sz="0" w:space="0" w:color="auto"/>
            <w:left w:val="none" w:sz="0" w:space="0" w:color="auto"/>
            <w:bottom w:val="none" w:sz="0" w:space="0" w:color="auto"/>
            <w:right w:val="none" w:sz="0" w:space="0" w:color="auto"/>
          </w:divBdr>
        </w:div>
        <w:div w:id="608856018">
          <w:marLeft w:val="0"/>
          <w:marRight w:val="0"/>
          <w:marTop w:val="120"/>
          <w:marBottom w:val="120"/>
          <w:divBdr>
            <w:top w:val="none" w:sz="0" w:space="0" w:color="auto"/>
            <w:left w:val="none" w:sz="0" w:space="0" w:color="auto"/>
            <w:bottom w:val="none" w:sz="0" w:space="0" w:color="auto"/>
            <w:right w:val="none" w:sz="0" w:space="0" w:color="auto"/>
          </w:divBdr>
        </w:div>
        <w:div w:id="718483074">
          <w:marLeft w:val="0"/>
          <w:marRight w:val="0"/>
          <w:marTop w:val="120"/>
          <w:marBottom w:val="120"/>
          <w:divBdr>
            <w:top w:val="none" w:sz="0" w:space="0" w:color="auto"/>
            <w:left w:val="none" w:sz="0" w:space="0" w:color="auto"/>
            <w:bottom w:val="none" w:sz="0" w:space="0" w:color="auto"/>
            <w:right w:val="none" w:sz="0" w:space="0" w:color="auto"/>
          </w:divBdr>
        </w:div>
        <w:div w:id="769619337">
          <w:marLeft w:val="0"/>
          <w:marRight w:val="0"/>
          <w:marTop w:val="120"/>
          <w:marBottom w:val="120"/>
          <w:divBdr>
            <w:top w:val="none" w:sz="0" w:space="0" w:color="auto"/>
            <w:left w:val="none" w:sz="0" w:space="0" w:color="auto"/>
            <w:bottom w:val="none" w:sz="0" w:space="0" w:color="auto"/>
            <w:right w:val="none" w:sz="0" w:space="0" w:color="auto"/>
          </w:divBdr>
        </w:div>
        <w:div w:id="1011375061">
          <w:marLeft w:val="0"/>
          <w:marRight w:val="0"/>
          <w:marTop w:val="120"/>
          <w:marBottom w:val="120"/>
          <w:divBdr>
            <w:top w:val="none" w:sz="0" w:space="0" w:color="auto"/>
            <w:left w:val="none" w:sz="0" w:space="0" w:color="auto"/>
            <w:bottom w:val="none" w:sz="0" w:space="0" w:color="auto"/>
            <w:right w:val="none" w:sz="0" w:space="0" w:color="auto"/>
          </w:divBdr>
        </w:div>
        <w:div w:id="1106578220">
          <w:marLeft w:val="0"/>
          <w:marRight w:val="0"/>
          <w:marTop w:val="120"/>
          <w:marBottom w:val="120"/>
          <w:divBdr>
            <w:top w:val="none" w:sz="0" w:space="0" w:color="auto"/>
            <w:left w:val="none" w:sz="0" w:space="0" w:color="auto"/>
            <w:bottom w:val="none" w:sz="0" w:space="0" w:color="auto"/>
            <w:right w:val="none" w:sz="0" w:space="0" w:color="auto"/>
          </w:divBdr>
        </w:div>
        <w:div w:id="1127701005">
          <w:marLeft w:val="0"/>
          <w:marRight w:val="0"/>
          <w:marTop w:val="120"/>
          <w:marBottom w:val="120"/>
          <w:divBdr>
            <w:top w:val="none" w:sz="0" w:space="0" w:color="auto"/>
            <w:left w:val="none" w:sz="0" w:space="0" w:color="auto"/>
            <w:bottom w:val="none" w:sz="0" w:space="0" w:color="auto"/>
            <w:right w:val="none" w:sz="0" w:space="0" w:color="auto"/>
          </w:divBdr>
        </w:div>
        <w:div w:id="1323392762">
          <w:marLeft w:val="0"/>
          <w:marRight w:val="0"/>
          <w:marTop w:val="120"/>
          <w:marBottom w:val="120"/>
          <w:divBdr>
            <w:top w:val="none" w:sz="0" w:space="0" w:color="auto"/>
            <w:left w:val="none" w:sz="0" w:space="0" w:color="auto"/>
            <w:bottom w:val="none" w:sz="0" w:space="0" w:color="auto"/>
            <w:right w:val="none" w:sz="0" w:space="0" w:color="auto"/>
          </w:divBdr>
        </w:div>
        <w:div w:id="1472211578">
          <w:marLeft w:val="0"/>
          <w:marRight w:val="0"/>
          <w:marTop w:val="120"/>
          <w:marBottom w:val="120"/>
          <w:divBdr>
            <w:top w:val="none" w:sz="0" w:space="0" w:color="auto"/>
            <w:left w:val="none" w:sz="0" w:space="0" w:color="auto"/>
            <w:bottom w:val="none" w:sz="0" w:space="0" w:color="auto"/>
            <w:right w:val="none" w:sz="0" w:space="0" w:color="auto"/>
          </w:divBdr>
        </w:div>
        <w:div w:id="1750223968">
          <w:marLeft w:val="0"/>
          <w:marRight w:val="0"/>
          <w:marTop w:val="120"/>
          <w:marBottom w:val="120"/>
          <w:divBdr>
            <w:top w:val="none" w:sz="0" w:space="0" w:color="auto"/>
            <w:left w:val="none" w:sz="0" w:space="0" w:color="auto"/>
            <w:bottom w:val="none" w:sz="0" w:space="0" w:color="auto"/>
            <w:right w:val="none" w:sz="0" w:space="0" w:color="auto"/>
          </w:divBdr>
        </w:div>
        <w:div w:id="2137019150">
          <w:marLeft w:val="0"/>
          <w:marRight w:val="0"/>
          <w:marTop w:val="120"/>
          <w:marBottom w:val="120"/>
          <w:divBdr>
            <w:top w:val="none" w:sz="0" w:space="0" w:color="auto"/>
            <w:left w:val="none" w:sz="0" w:space="0" w:color="auto"/>
            <w:bottom w:val="none" w:sz="0" w:space="0" w:color="auto"/>
            <w:right w:val="none" w:sz="0" w:space="0" w:color="auto"/>
          </w:divBdr>
        </w:div>
      </w:divsChild>
    </w:div>
    <w:div w:id="1186603287">
      <w:bodyDiv w:val="1"/>
      <w:marLeft w:val="0"/>
      <w:marRight w:val="0"/>
      <w:marTop w:val="0"/>
      <w:marBottom w:val="0"/>
      <w:divBdr>
        <w:top w:val="none" w:sz="0" w:space="0" w:color="auto"/>
        <w:left w:val="none" w:sz="0" w:space="0" w:color="auto"/>
        <w:bottom w:val="none" w:sz="0" w:space="0" w:color="auto"/>
        <w:right w:val="none" w:sz="0" w:space="0" w:color="auto"/>
      </w:divBdr>
    </w:div>
    <w:div w:id="1188256836">
      <w:bodyDiv w:val="1"/>
      <w:marLeft w:val="0"/>
      <w:marRight w:val="0"/>
      <w:marTop w:val="0"/>
      <w:marBottom w:val="0"/>
      <w:divBdr>
        <w:top w:val="none" w:sz="0" w:space="0" w:color="auto"/>
        <w:left w:val="none" w:sz="0" w:space="0" w:color="auto"/>
        <w:bottom w:val="none" w:sz="0" w:space="0" w:color="auto"/>
        <w:right w:val="none" w:sz="0" w:space="0" w:color="auto"/>
      </w:divBdr>
    </w:div>
    <w:div w:id="1193614983">
      <w:bodyDiv w:val="1"/>
      <w:marLeft w:val="0"/>
      <w:marRight w:val="0"/>
      <w:marTop w:val="0"/>
      <w:marBottom w:val="0"/>
      <w:divBdr>
        <w:top w:val="none" w:sz="0" w:space="0" w:color="auto"/>
        <w:left w:val="none" w:sz="0" w:space="0" w:color="auto"/>
        <w:bottom w:val="none" w:sz="0" w:space="0" w:color="auto"/>
        <w:right w:val="none" w:sz="0" w:space="0" w:color="auto"/>
      </w:divBdr>
    </w:div>
    <w:div w:id="1199781168">
      <w:bodyDiv w:val="1"/>
      <w:marLeft w:val="0"/>
      <w:marRight w:val="0"/>
      <w:marTop w:val="0"/>
      <w:marBottom w:val="0"/>
      <w:divBdr>
        <w:top w:val="none" w:sz="0" w:space="0" w:color="auto"/>
        <w:left w:val="none" w:sz="0" w:space="0" w:color="auto"/>
        <w:bottom w:val="none" w:sz="0" w:space="0" w:color="auto"/>
        <w:right w:val="none" w:sz="0" w:space="0" w:color="auto"/>
      </w:divBdr>
      <w:divsChild>
        <w:div w:id="1665670825">
          <w:marLeft w:val="0"/>
          <w:marRight w:val="0"/>
          <w:marTop w:val="120"/>
          <w:marBottom w:val="120"/>
          <w:divBdr>
            <w:top w:val="none" w:sz="0" w:space="0" w:color="auto"/>
            <w:left w:val="none" w:sz="0" w:space="0" w:color="auto"/>
            <w:bottom w:val="none" w:sz="0" w:space="0" w:color="auto"/>
            <w:right w:val="none" w:sz="0" w:space="0" w:color="auto"/>
          </w:divBdr>
        </w:div>
      </w:divsChild>
    </w:div>
    <w:div w:id="1203904930">
      <w:bodyDiv w:val="1"/>
      <w:marLeft w:val="0"/>
      <w:marRight w:val="0"/>
      <w:marTop w:val="0"/>
      <w:marBottom w:val="0"/>
      <w:divBdr>
        <w:top w:val="none" w:sz="0" w:space="0" w:color="auto"/>
        <w:left w:val="none" w:sz="0" w:space="0" w:color="auto"/>
        <w:bottom w:val="none" w:sz="0" w:space="0" w:color="auto"/>
        <w:right w:val="none" w:sz="0" w:space="0" w:color="auto"/>
      </w:divBdr>
      <w:divsChild>
        <w:div w:id="1392122234">
          <w:marLeft w:val="0"/>
          <w:marRight w:val="0"/>
          <w:marTop w:val="120"/>
          <w:marBottom w:val="120"/>
          <w:divBdr>
            <w:top w:val="none" w:sz="0" w:space="0" w:color="auto"/>
            <w:left w:val="none" w:sz="0" w:space="0" w:color="auto"/>
            <w:bottom w:val="none" w:sz="0" w:space="0" w:color="auto"/>
            <w:right w:val="none" w:sz="0" w:space="0" w:color="auto"/>
          </w:divBdr>
        </w:div>
        <w:div w:id="1690523105">
          <w:marLeft w:val="0"/>
          <w:marRight w:val="0"/>
          <w:marTop w:val="120"/>
          <w:marBottom w:val="120"/>
          <w:divBdr>
            <w:top w:val="none" w:sz="0" w:space="0" w:color="auto"/>
            <w:left w:val="none" w:sz="0" w:space="0" w:color="auto"/>
            <w:bottom w:val="none" w:sz="0" w:space="0" w:color="auto"/>
            <w:right w:val="none" w:sz="0" w:space="0" w:color="auto"/>
          </w:divBdr>
        </w:div>
        <w:div w:id="2077388507">
          <w:marLeft w:val="0"/>
          <w:marRight w:val="0"/>
          <w:marTop w:val="120"/>
          <w:marBottom w:val="120"/>
          <w:divBdr>
            <w:top w:val="none" w:sz="0" w:space="0" w:color="auto"/>
            <w:left w:val="none" w:sz="0" w:space="0" w:color="auto"/>
            <w:bottom w:val="none" w:sz="0" w:space="0" w:color="auto"/>
            <w:right w:val="none" w:sz="0" w:space="0" w:color="auto"/>
          </w:divBdr>
        </w:div>
      </w:divsChild>
    </w:div>
    <w:div w:id="1208687100">
      <w:bodyDiv w:val="1"/>
      <w:marLeft w:val="0"/>
      <w:marRight w:val="0"/>
      <w:marTop w:val="0"/>
      <w:marBottom w:val="0"/>
      <w:divBdr>
        <w:top w:val="none" w:sz="0" w:space="0" w:color="auto"/>
        <w:left w:val="none" w:sz="0" w:space="0" w:color="auto"/>
        <w:bottom w:val="none" w:sz="0" w:space="0" w:color="auto"/>
        <w:right w:val="none" w:sz="0" w:space="0" w:color="auto"/>
      </w:divBdr>
    </w:div>
    <w:div w:id="1216701408">
      <w:bodyDiv w:val="1"/>
      <w:marLeft w:val="0"/>
      <w:marRight w:val="0"/>
      <w:marTop w:val="0"/>
      <w:marBottom w:val="0"/>
      <w:divBdr>
        <w:top w:val="none" w:sz="0" w:space="0" w:color="auto"/>
        <w:left w:val="none" w:sz="0" w:space="0" w:color="auto"/>
        <w:bottom w:val="none" w:sz="0" w:space="0" w:color="auto"/>
        <w:right w:val="none" w:sz="0" w:space="0" w:color="auto"/>
      </w:divBdr>
    </w:div>
    <w:div w:id="1219634795">
      <w:bodyDiv w:val="1"/>
      <w:marLeft w:val="0"/>
      <w:marRight w:val="0"/>
      <w:marTop w:val="0"/>
      <w:marBottom w:val="0"/>
      <w:divBdr>
        <w:top w:val="none" w:sz="0" w:space="0" w:color="auto"/>
        <w:left w:val="none" w:sz="0" w:space="0" w:color="auto"/>
        <w:bottom w:val="none" w:sz="0" w:space="0" w:color="auto"/>
        <w:right w:val="none" w:sz="0" w:space="0" w:color="auto"/>
      </w:divBdr>
    </w:div>
    <w:div w:id="1219826177">
      <w:bodyDiv w:val="1"/>
      <w:marLeft w:val="0"/>
      <w:marRight w:val="0"/>
      <w:marTop w:val="0"/>
      <w:marBottom w:val="0"/>
      <w:divBdr>
        <w:top w:val="none" w:sz="0" w:space="0" w:color="auto"/>
        <w:left w:val="none" w:sz="0" w:space="0" w:color="auto"/>
        <w:bottom w:val="none" w:sz="0" w:space="0" w:color="auto"/>
        <w:right w:val="none" w:sz="0" w:space="0" w:color="auto"/>
      </w:divBdr>
    </w:div>
    <w:div w:id="1222867712">
      <w:bodyDiv w:val="1"/>
      <w:marLeft w:val="0"/>
      <w:marRight w:val="0"/>
      <w:marTop w:val="0"/>
      <w:marBottom w:val="0"/>
      <w:divBdr>
        <w:top w:val="none" w:sz="0" w:space="0" w:color="auto"/>
        <w:left w:val="none" w:sz="0" w:space="0" w:color="auto"/>
        <w:bottom w:val="none" w:sz="0" w:space="0" w:color="auto"/>
        <w:right w:val="none" w:sz="0" w:space="0" w:color="auto"/>
      </w:divBdr>
    </w:div>
    <w:div w:id="1235240924">
      <w:bodyDiv w:val="1"/>
      <w:marLeft w:val="0"/>
      <w:marRight w:val="0"/>
      <w:marTop w:val="0"/>
      <w:marBottom w:val="0"/>
      <w:divBdr>
        <w:top w:val="none" w:sz="0" w:space="0" w:color="auto"/>
        <w:left w:val="none" w:sz="0" w:space="0" w:color="auto"/>
        <w:bottom w:val="none" w:sz="0" w:space="0" w:color="auto"/>
        <w:right w:val="none" w:sz="0" w:space="0" w:color="auto"/>
      </w:divBdr>
      <w:divsChild>
        <w:div w:id="478687827">
          <w:marLeft w:val="0"/>
          <w:marRight w:val="0"/>
          <w:marTop w:val="120"/>
          <w:marBottom w:val="120"/>
          <w:divBdr>
            <w:top w:val="none" w:sz="0" w:space="0" w:color="auto"/>
            <w:left w:val="none" w:sz="0" w:space="0" w:color="auto"/>
            <w:bottom w:val="none" w:sz="0" w:space="0" w:color="auto"/>
            <w:right w:val="none" w:sz="0" w:space="0" w:color="auto"/>
          </w:divBdr>
        </w:div>
        <w:div w:id="847210952">
          <w:marLeft w:val="0"/>
          <w:marRight w:val="0"/>
          <w:marTop w:val="120"/>
          <w:marBottom w:val="120"/>
          <w:divBdr>
            <w:top w:val="none" w:sz="0" w:space="0" w:color="auto"/>
            <w:left w:val="none" w:sz="0" w:space="0" w:color="auto"/>
            <w:bottom w:val="none" w:sz="0" w:space="0" w:color="auto"/>
            <w:right w:val="none" w:sz="0" w:space="0" w:color="auto"/>
          </w:divBdr>
        </w:div>
        <w:div w:id="1192917537">
          <w:marLeft w:val="0"/>
          <w:marRight w:val="0"/>
          <w:marTop w:val="120"/>
          <w:marBottom w:val="120"/>
          <w:divBdr>
            <w:top w:val="none" w:sz="0" w:space="0" w:color="auto"/>
            <w:left w:val="none" w:sz="0" w:space="0" w:color="auto"/>
            <w:bottom w:val="none" w:sz="0" w:space="0" w:color="auto"/>
            <w:right w:val="none" w:sz="0" w:space="0" w:color="auto"/>
          </w:divBdr>
        </w:div>
        <w:div w:id="1529567622">
          <w:marLeft w:val="0"/>
          <w:marRight w:val="0"/>
          <w:marTop w:val="120"/>
          <w:marBottom w:val="120"/>
          <w:divBdr>
            <w:top w:val="none" w:sz="0" w:space="0" w:color="auto"/>
            <w:left w:val="none" w:sz="0" w:space="0" w:color="auto"/>
            <w:bottom w:val="none" w:sz="0" w:space="0" w:color="auto"/>
            <w:right w:val="none" w:sz="0" w:space="0" w:color="auto"/>
          </w:divBdr>
        </w:div>
        <w:div w:id="1797797714">
          <w:marLeft w:val="0"/>
          <w:marRight w:val="0"/>
          <w:marTop w:val="120"/>
          <w:marBottom w:val="120"/>
          <w:divBdr>
            <w:top w:val="none" w:sz="0" w:space="0" w:color="auto"/>
            <w:left w:val="none" w:sz="0" w:space="0" w:color="auto"/>
            <w:bottom w:val="none" w:sz="0" w:space="0" w:color="auto"/>
            <w:right w:val="none" w:sz="0" w:space="0" w:color="auto"/>
          </w:divBdr>
        </w:div>
      </w:divsChild>
    </w:div>
    <w:div w:id="1260286628">
      <w:bodyDiv w:val="1"/>
      <w:marLeft w:val="0"/>
      <w:marRight w:val="0"/>
      <w:marTop w:val="0"/>
      <w:marBottom w:val="0"/>
      <w:divBdr>
        <w:top w:val="none" w:sz="0" w:space="0" w:color="auto"/>
        <w:left w:val="none" w:sz="0" w:space="0" w:color="auto"/>
        <w:bottom w:val="none" w:sz="0" w:space="0" w:color="auto"/>
        <w:right w:val="none" w:sz="0" w:space="0" w:color="auto"/>
      </w:divBdr>
      <w:divsChild>
        <w:div w:id="918519582">
          <w:marLeft w:val="0"/>
          <w:marRight w:val="0"/>
          <w:marTop w:val="0"/>
          <w:marBottom w:val="0"/>
          <w:divBdr>
            <w:top w:val="none" w:sz="0" w:space="0" w:color="auto"/>
            <w:left w:val="none" w:sz="0" w:space="0" w:color="auto"/>
            <w:bottom w:val="none" w:sz="0" w:space="0" w:color="auto"/>
            <w:right w:val="none" w:sz="0" w:space="0" w:color="auto"/>
          </w:divBdr>
          <w:divsChild>
            <w:div w:id="662508106">
              <w:marLeft w:val="0"/>
              <w:marRight w:val="0"/>
              <w:marTop w:val="0"/>
              <w:marBottom w:val="0"/>
              <w:divBdr>
                <w:top w:val="none" w:sz="0" w:space="0" w:color="auto"/>
                <w:left w:val="none" w:sz="0" w:space="0" w:color="auto"/>
                <w:bottom w:val="none" w:sz="0" w:space="0" w:color="auto"/>
                <w:right w:val="none" w:sz="0" w:space="0" w:color="auto"/>
              </w:divBdr>
              <w:divsChild>
                <w:div w:id="948001092">
                  <w:marLeft w:val="0"/>
                  <w:marRight w:val="0"/>
                  <w:marTop w:val="0"/>
                  <w:marBottom w:val="0"/>
                  <w:divBdr>
                    <w:top w:val="none" w:sz="0" w:space="0" w:color="auto"/>
                    <w:left w:val="none" w:sz="0" w:space="0" w:color="auto"/>
                    <w:bottom w:val="none" w:sz="0" w:space="0" w:color="auto"/>
                    <w:right w:val="none" w:sz="0" w:space="0" w:color="auto"/>
                  </w:divBdr>
                  <w:divsChild>
                    <w:div w:id="2102948203">
                      <w:marLeft w:val="0"/>
                      <w:marRight w:val="0"/>
                      <w:marTop w:val="0"/>
                      <w:marBottom w:val="0"/>
                      <w:divBdr>
                        <w:top w:val="none" w:sz="0" w:space="0" w:color="auto"/>
                        <w:left w:val="none" w:sz="0" w:space="0" w:color="auto"/>
                        <w:bottom w:val="none" w:sz="0" w:space="0" w:color="auto"/>
                        <w:right w:val="none" w:sz="0" w:space="0" w:color="auto"/>
                      </w:divBdr>
                      <w:divsChild>
                        <w:div w:id="98572209">
                          <w:marLeft w:val="0"/>
                          <w:marRight w:val="0"/>
                          <w:marTop w:val="0"/>
                          <w:marBottom w:val="0"/>
                          <w:divBdr>
                            <w:top w:val="none" w:sz="0" w:space="0" w:color="auto"/>
                            <w:left w:val="none" w:sz="0" w:space="0" w:color="auto"/>
                            <w:bottom w:val="none" w:sz="0" w:space="0" w:color="auto"/>
                            <w:right w:val="none" w:sz="0" w:space="0" w:color="auto"/>
                          </w:divBdr>
                          <w:divsChild>
                            <w:div w:id="225916798">
                              <w:marLeft w:val="0"/>
                              <w:marRight w:val="0"/>
                              <w:marTop w:val="0"/>
                              <w:marBottom w:val="0"/>
                              <w:divBdr>
                                <w:top w:val="none" w:sz="0" w:space="0" w:color="auto"/>
                                <w:left w:val="none" w:sz="0" w:space="0" w:color="auto"/>
                                <w:bottom w:val="none" w:sz="0" w:space="0" w:color="auto"/>
                                <w:right w:val="none" w:sz="0" w:space="0" w:color="auto"/>
                              </w:divBdr>
                              <w:divsChild>
                                <w:div w:id="440610906">
                                  <w:marLeft w:val="0"/>
                                  <w:marRight w:val="0"/>
                                  <w:marTop w:val="0"/>
                                  <w:marBottom w:val="0"/>
                                  <w:divBdr>
                                    <w:top w:val="none" w:sz="0" w:space="0" w:color="auto"/>
                                    <w:left w:val="none" w:sz="0" w:space="0" w:color="auto"/>
                                    <w:bottom w:val="none" w:sz="0" w:space="0" w:color="auto"/>
                                    <w:right w:val="none" w:sz="0" w:space="0" w:color="auto"/>
                                  </w:divBdr>
                                  <w:divsChild>
                                    <w:div w:id="1117408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66960993">
      <w:bodyDiv w:val="1"/>
      <w:marLeft w:val="0"/>
      <w:marRight w:val="0"/>
      <w:marTop w:val="0"/>
      <w:marBottom w:val="0"/>
      <w:divBdr>
        <w:top w:val="none" w:sz="0" w:space="0" w:color="auto"/>
        <w:left w:val="none" w:sz="0" w:space="0" w:color="auto"/>
        <w:bottom w:val="none" w:sz="0" w:space="0" w:color="auto"/>
        <w:right w:val="none" w:sz="0" w:space="0" w:color="auto"/>
      </w:divBdr>
    </w:div>
    <w:div w:id="1270354011">
      <w:bodyDiv w:val="1"/>
      <w:marLeft w:val="0"/>
      <w:marRight w:val="0"/>
      <w:marTop w:val="0"/>
      <w:marBottom w:val="0"/>
      <w:divBdr>
        <w:top w:val="none" w:sz="0" w:space="0" w:color="auto"/>
        <w:left w:val="none" w:sz="0" w:space="0" w:color="auto"/>
        <w:bottom w:val="none" w:sz="0" w:space="0" w:color="auto"/>
        <w:right w:val="none" w:sz="0" w:space="0" w:color="auto"/>
      </w:divBdr>
      <w:divsChild>
        <w:div w:id="339742209">
          <w:marLeft w:val="0"/>
          <w:marRight w:val="0"/>
          <w:marTop w:val="120"/>
          <w:marBottom w:val="120"/>
          <w:divBdr>
            <w:top w:val="none" w:sz="0" w:space="0" w:color="auto"/>
            <w:left w:val="none" w:sz="0" w:space="0" w:color="auto"/>
            <w:bottom w:val="none" w:sz="0" w:space="0" w:color="auto"/>
            <w:right w:val="none" w:sz="0" w:space="0" w:color="auto"/>
          </w:divBdr>
        </w:div>
      </w:divsChild>
    </w:div>
    <w:div w:id="1272318640">
      <w:bodyDiv w:val="1"/>
      <w:marLeft w:val="0"/>
      <w:marRight w:val="0"/>
      <w:marTop w:val="0"/>
      <w:marBottom w:val="0"/>
      <w:divBdr>
        <w:top w:val="none" w:sz="0" w:space="0" w:color="auto"/>
        <w:left w:val="none" w:sz="0" w:space="0" w:color="auto"/>
        <w:bottom w:val="none" w:sz="0" w:space="0" w:color="auto"/>
        <w:right w:val="none" w:sz="0" w:space="0" w:color="auto"/>
      </w:divBdr>
    </w:div>
    <w:div w:id="1273634746">
      <w:bodyDiv w:val="1"/>
      <w:marLeft w:val="0"/>
      <w:marRight w:val="0"/>
      <w:marTop w:val="0"/>
      <w:marBottom w:val="0"/>
      <w:divBdr>
        <w:top w:val="none" w:sz="0" w:space="0" w:color="auto"/>
        <w:left w:val="none" w:sz="0" w:space="0" w:color="auto"/>
        <w:bottom w:val="none" w:sz="0" w:space="0" w:color="auto"/>
        <w:right w:val="none" w:sz="0" w:space="0" w:color="auto"/>
      </w:divBdr>
    </w:div>
    <w:div w:id="1275140524">
      <w:bodyDiv w:val="1"/>
      <w:marLeft w:val="0"/>
      <w:marRight w:val="0"/>
      <w:marTop w:val="0"/>
      <w:marBottom w:val="0"/>
      <w:divBdr>
        <w:top w:val="none" w:sz="0" w:space="0" w:color="auto"/>
        <w:left w:val="none" w:sz="0" w:space="0" w:color="auto"/>
        <w:bottom w:val="none" w:sz="0" w:space="0" w:color="auto"/>
        <w:right w:val="none" w:sz="0" w:space="0" w:color="auto"/>
      </w:divBdr>
    </w:div>
    <w:div w:id="1281376484">
      <w:bodyDiv w:val="1"/>
      <w:marLeft w:val="0"/>
      <w:marRight w:val="0"/>
      <w:marTop w:val="0"/>
      <w:marBottom w:val="0"/>
      <w:divBdr>
        <w:top w:val="none" w:sz="0" w:space="0" w:color="auto"/>
        <w:left w:val="none" w:sz="0" w:space="0" w:color="auto"/>
        <w:bottom w:val="none" w:sz="0" w:space="0" w:color="auto"/>
        <w:right w:val="none" w:sz="0" w:space="0" w:color="auto"/>
      </w:divBdr>
      <w:divsChild>
        <w:div w:id="616572015">
          <w:marLeft w:val="0"/>
          <w:marRight w:val="0"/>
          <w:marTop w:val="120"/>
          <w:marBottom w:val="120"/>
          <w:divBdr>
            <w:top w:val="none" w:sz="0" w:space="0" w:color="auto"/>
            <w:left w:val="none" w:sz="0" w:space="0" w:color="auto"/>
            <w:bottom w:val="none" w:sz="0" w:space="0" w:color="auto"/>
            <w:right w:val="none" w:sz="0" w:space="0" w:color="auto"/>
          </w:divBdr>
        </w:div>
      </w:divsChild>
    </w:div>
    <w:div w:id="1313369458">
      <w:bodyDiv w:val="1"/>
      <w:marLeft w:val="0"/>
      <w:marRight w:val="0"/>
      <w:marTop w:val="0"/>
      <w:marBottom w:val="0"/>
      <w:divBdr>
        <w:top w:val="none" w:sz="0" w:space="0" w:color="auto"/>
        <w:left w:val="none" w:sz="0" w:space="0" w:color="auto"/>
        <w:bottom w:val="none" w:sz="0" w:space="0" w:color="auto"/>
        <w:right w:val="none" w:sz="0" w:space="0" w:color="auto"/>
      </w:divBdr>
    </w:div>
    <w:div w:id="1327322216">
      <w:bodyDiv w:val="1"/>
      <w:marLeft w:val="0"/>
      <w:marRight w:val="0"/>
      <w:marTop w:val="0"/>
      <w:marBottom w:val="0"/>
      <w:divBdr>
        <w:top w:val="none" w:sz="0" w:space="0" w:color="auto"/>
        <w:left w:val="none" w:sz="0" w:space="0" w:color="auto"/>
        <w:bottom w:val="none" w:sz="0" w:space="0" w:color="auto"/>
        <w:right w:val="none" w:sz="0" w:space="0" w:color="auto"/>
      </w:divBdr>
      <w:divsChild>
        <w:div w:id="1464300754">
          <w:marLeft w:val="0"/>
          <w:marRight w:val="0"/>
          <w:marTop w:val="120"/>
          <w:marBottom w:val="120"/>
          <w:divBdr>
            <w:top w:val="none" w:sz="0" w:space="0" w:color="auto"/>
            <w:left w:val="none" w:sz="0" w:space="0" w:color="auto"/>
            <w:bottom w:val="none" w:sz="0" w:space="0" w:color="auto"/>
            <w:right w:val="none" w:sz="0" w:space="0" w:color="auto"/>
          </w:divBdr>
        </w:div>
      </w:divsChild>
    </w:div>
    <w:div w:id="1327899043">
      <w:bodyDiv w:val="1"/>
      <w:marLeft w:val="0"/>
      <w:marRight w:val="0"/>
      <w:marTop w:val="0"/>
      <w:marBottom w:val="0"/>
      <w:divBdr>
        <w:top w:val="none" w:sz="0" w:space="0" w:color="auto"/>
        <w:left w:val="none" w:sz="0" w:space="0" w:color="auto"/>
        <w:bottom w:val="none" w:sz="0" w:space="0" w:color="auto"/>
        <w:right w:val="none" w:sz="0" w:space="0" w:color="auto"/>
      </w:divBdr>
    </w:div>
    <w:div w:id="1333071059">
      <w:bodyDiv w:val="1"/>
      <w:marLeft w:val="0"/>
      <w:marRight w:val="0"/>
      <w:marTop w:val="0"/>
      <w:marBottom w:val="0"/>
      <w:divBdr>
        <w:top w:val="none" w:sz="0" w:space="0" w:color="auto"/>
        <w:left w:val="none" w:sz="0" w:space="0" w:color="auto"/>
        <w:bottom w:val="none" w:sz="0" w:space="0" w:color="auto"/>
        <w:right w:val="none" w:sz="0" w:space="0" w:color="auto"/>
      </w:divBdr>
      <w:divsChild>
        <w:div w:id="389428738">
          <w:marLeft w:val="0"/>
          <w:marRight w:val="0"/>
          <w:marTop w:val="120"/>
          <w:marBottom w:val="120"/>
          <w:divBdr>
            <w:top w:val="none" w:sz="0" w:space="0" w:color="auto"/>
            <w:left w:val="none" w:sz="0" w:space="0" w:color="auto"/>
            <w:bottom w:val="none" w:sz="0" w:space="0" w:color="auto"/>
            <w:right w:val="none" w:sz="0" w:space="0" w:color="auto"/>
          </w:divBdr>
        </w:div>
        <w:div w:id="1976252138">
          <w:marLeft w:val="0"/>
          <w:marRight w:val="0"/>
          <w:marTop w:val="120"/>
          <w:marBottom w:val="120"/>
          <w:divBdr>
            <w:top w:val="none" w:sz="0" w:space="0" w:color="auto"/>
            <w:left w:val="none" w:sz="0" w:space="0" w:color="auto"/>
            <w:bottom w:val="none" w:sz="0" w:space="0" w:color="auto"/>
            <w:right w:val="none" w:sz="0" w:space="0" w:color="auto"/>
          </w:divBdr>
        </w:div>
      </w:divsChild>
    </w:div>
    <w:div w:id="1338188781">
      <w:bodyDiv w:val="1"/>
      <w:marLeft w:val="0"/>
      <w:marRight w:val="0"/>
      <w:marTop w:val="0"/>
      <w:marBottom w:val="0"/>
      <w:divBdr>
        <w:top w:val="none" w:sz="0" w:space="0" w:color="auto"/>
        <w:left w:val="none" w:sz="0" w:space="0" w:color="auto"/>
        <w:bottom w:val="none" w:sz="0" w:space="0" w:color="auto"/>
        <w:right w:val="none" w:sz="0" w:space="0" w:color="auto"/>
      </w:divBdr>
    </w:div>
    <w:div w:id="1343161055">
      <w:bodyDiv w:val="1"/>
      <w:marLeft w:val="0"/>
      <w:marRight w:val="0"/>
      <w:marTop w:val="0"/>
      <w:marBottom w:val="0"/>
      <w:divBdr>
        <w:top w:val="none" w:sz="0" w:space="0" w:color="auto"/>
        <w:left w:val="none" w:sz="0" w:space="0" w:color="auto"/>
        <w:bottom w:val="none" w:sz="0" w:space="0" w:color="auto"/>
        <w:right w:val="none" w:sz="0" w:space="0" w:color="auto"/>
      </w:divBdr>
    </w:div>
    <w:div w:id="1371491714">
      <w:bodyDiv w:val="1"/>
      <w:marLeft w:val="0"/>
      <w:marRight w:val="0"/>
      <w:marTop w:val="0"/>
      <w:marBottom w:val="0"/>
      <w:divBdr>
        <w:top w:val="none" w:sz="0" w:space="0" w:color="auto"/>
        <w:left w:val="none" w:sz="0" w:space="0" w:color="auto"/>
        <w:bottom w:val="none" w:sz="0" w:space="0" w:color="auto"/>
        <w:right w:val="none" w:sz="0" w:space="0" w:color="auto"/>
      </w:divBdr>
      <w:divsChild>
        <w:div w:id="1367178301">
          <w:marLeft w:val="0"/>
          <w:marRight w:val="0"/>
          <w:marTop w:val="120"/>
          <w:marBottom w:val="120"/>
          <w:divBdr>
            <w:top w:val="none" w:sz="0" w:space="0" w:color="auto"/>
            <w:left w:val="none" w:sz="0" w:space="0" w:color="auto"/>
            <w:bottom w:val="none" w:sz="0" w:space="0" w:color="auto"/>
            <w:right w:val="none" w:sz="0" w:space="0" w:color="auto"/>
          </w:divBdr>
        </w:div>
        <w:div w:id="1577401424">
          <w:marLeft w:val="0"/>
          <w:marRight w:val="0"/>
          <w:marTop w:val="120"/>
          <w:marBottom w:val="120"/>
          <w:divBdr>
            <w:top w:val="none" w:sz="0" w:space="0" w:color="auto"/>
            <w:left w:val="none" w:sz="0" w:space="0" w:color="auto"/>
            <w:bottom w:val="none" w:sz="0" w:space="0" w:color="auto"/>
            <w:right w:val="none" w:sz="0" w:space="0" w:color="auto"/>
          </w:divBdr>
        </w:div>
        <w:div w:id="1981036823">
          <w:marLeft w:val="0"/>
          <w:marRight w:val="0"/>
          <w:marTop w:val="120"/>
          <w:marBottom w:val="120"/>
          <w:divBdr>
            <w:top w:val="none" w:sz="0" w:space="0" w:color="auto"/>
            <w:left w:val="none" w:sz="0" w:space="0" w:color="auto"/>
            <w:bottom w:val="none" w:sz="0" w:space="0" w:color="auto"/>
            <w:right w:val="none" w:sz="0" w:space="0" w:color="auto"/>
          </w:divBdr>
        </w:div>
      </w:divsChild>
    </w:div>
    <w:div w:id="1383871263">
      <w:bodyDiv w:val="1"/>
      <w:marLeft w:val="0"/>
      <w:marRight w:val="0"/>
      <w:marTop w:val="0"/>
      <w:marBottom w:val="0"/>
      <w:divBdr>
        <w:top w:val="none" w:sz="0" w:space="0" w:color="auto"/>
        <w:left w:val="none" w:sz="0" w:space="0" w:color="auto"/>
        <w:bottom w:val="none" w:sz="0" w:space="0" w:color="auto"/>
        <w:right w:val="none" w:sz="0" w:space="0" w:color="auto"/>
      </w:divBdr>
    </w:div>
    <w:div w:id="1388410456">
      <w:bodyDiv w:val="1"/>
      <w:marLeft w:val="0"/>
      <w:marRight w:val="0"/>
      <w:marTop w:val="0"/>
      <w:marBottom w:val="0"/>
      <w:divBdr>
        <w:top w:val="none" w:sz="0" w:space="0" w:color="auto"/>
        <w:left w:val="none" w:sz="0" w:space="0" w:color="auto"/>
        <w:bottom w:val="none" w:sz="0" w:space="0" w:color="auto"/>
        <w:right w:val="none" w:sz="0" w:space="0" w:color="auto"/>
      </w:divBdr>
    </w:div>
    <w:div w:id="1398237536">
      <w:bodyDiv w:val="1"/>
      <w:marLeft w:val="0"/>
      <w:marRight w:val="0"/>
      <w:marTop w:val="0"/>
      <w:marBottom w:val="0"/>
      <w:divBdr>
        <w:top w:val="none" w:sz="0" w:space="0" w:color="auto"/>
        <w:left w:val="none" w:sz="0" w:space="0" w:color="auto"/>
        <w:bottom w:val="none" w:sz="0" w:space="0" w:color="auto"/>
        <w:right w:val="none" w:sz="0" w:space="0" w:color="auto"/>
      </w:divBdr>
      <w:divsChild>
        <w:div w:id="165480824">
          <w:marLeft w:val="0"/>
          <w:marRight w:val="0"/>
          <w:marTop w:val="120"/>
          <w:marBottom w:val="120"/>
          <w:divBdr>
            <w:top w:val="none" w:sz="0" w:space="0" w:color="auto"/>
            <w:left w:val="none" w:sz="0" w:space="0" w:color="auto"/>
            <w:bottom w:val="none" w:sz="0" w:space="0" w:color="auto"/>
            <w:right w:val="none" w:sz="0" w:space="0" w:color="auto"/>
          </w:divBdr>
        </w:div>
      </w:divsChild>
    </w:div>
    <w:div w:id="1406100456">
      <w:bodyDiv w:val="1"/>
      <w:marLeft w:val="0"/>
      <w:marRight w:val="0"/>
      <w:marTop w:val="0"/>
      <w:marBottom w:val="0"/>
      <w:divBdr>
        <w:top w:val="none" w:sz="0" w:space="0" w:color="auto"/>
        <w:left w:val="none" w:sz="0" w:space="0" w:color="auto"/>
        <w:bottom w:val="none" w:sz="0" w:space="0" w:color="auto"/>
        <w:right w:val="none" w:sz="0" w:space="0" w:color="auto"/>
      </w:divBdr>
    </w:div>
    <w:div w:id="1407261825">
      <w:bodyDiv w:val="1"/>
      <w:marLeft w:val="0"/>
      <w:marRight w:val="0"/>
      <w:marTop w:val="0"/>
      <w:marBottom w:val="0"/>
      <w:divBdr>
        <w:top w:val="none" w:sz="0" w:space="0" w:color="auto"/>
        <w:left w:val="none" w:sz="0" w:space="0" w:color="auto"/>
        <w:bottom w:val="none" w:sz="0" w:space="0" w:color="auto"/>
        <w:right w:val="none" w:sz="0" w:space="0" w:color="auto"/>
      </w:divBdr>
      <w:divsChild>
        <w:div w:id="1278559349">
          <w:marLeft w:val="0"/>
          <w:marRight w:val="0"/>
          <w:marTop w:val="120"/>
          <w:marBottom w:val="120"/>
          <w:divBdr>
            <w:top w:val="none" w:sz="0" w:space="0" w:color="auto"/>
            <w:left w:val="none" w:sz="0" w:space="0" w:color="auto"/>
            <w:bottom w:val="none" w:sz="0" w:space="0" w:color="auto"/>
            <w:right w:val="none" w:sz="0" w:space="0" w:color="auto"/>
          </w:divBdr>
        </w:div>
      </w:divsChild>
    </w:div>
    <w:div w:id="1407342174">
      <w:bodyDiv w:val="1"/>
      <w:marLeft w:val="0"/>
      <w:marRight w:val="0"/>
      <w:marTop w:val="0"/>
      <w:marBottom w:val="0"/>
      <w:divBdr>
        <w:top w:val="none" w:sz="0" w:space="0" w:color="auto"/>
        <w:left w:val="none" w:sz="0" w:space="0" w:color="auto"/>
        <w:bottom w:val="none" w:sz="0" w:space="0" w:color="auto"/>
        <w:right w:val="none" w:sz="0" w:space="0" w:color="auto"/>
      </w:divBdr>
    </w:div>
    <w:div w:id="1410545424">
      <w:bodyDiv w:val="1"/>
      <w:marLeft w:val="0"/>
      <w:marRight w:val="0"/>
      <w:marTop w:val="0"/>
      <w:marBottom w:val="0"/>
      <w:divBdr>
        <w:top w:val="none" w:sz="0" w:space="0" w:color="auto"/>
        <w:left w:val="none" w:sz="0" w:space="0" w:color="auto"/>
        <w:bottom w:val="none" w:sz="0" w:space="0" w:color="auto"/>
        <w:right w:val="none" w:sz="0" w:space="0" w:color="auto"/>
      </w:divBdr>
    </w:div>
    <w:div w:id="1413619904">
      <w:bodyDiv w:val="1"/>
      <w:marLeft w:val="0"/>
      <w:marRight w:val="0"/>
      <w:marTop w:val="0"/>
      <w:marBottom w:val="0"/>
      <w:divBdr>
        <w:top w:val="none" w:sz="0" w:space="0" w:color="auto"/>
        <w:left w:val="none" w:sz="0" w:space="0" w:color="auto"/>
        <w:bottom w:val="none" w:sz="0" w:space="0" w:color="auto"/>
        <w:right w:val="none" w:sz="0" w:space="0" w:color="auto"/>
      </w:divBdr>
    </w:div>
    <w:div w:id="1415976710">
      <w:bodyDiv w:val="1"/>
      <w:marLeft w:val="0"/>
      <w:marRight w:val="0"/>
      <w:marTop w:val="0"/>
      <w:marBottom w:val="0"/>
      <w:divBdr>
        <w:top w:val="none" w:sz="0" w:space="0" w:color="auto"/>
        <w:left w:val="none" w:sz="0" w:space="0" w:color="auto"/>
        <w:bottom w:val="none" w:sz="0" w:space="0" w:color="auto"/>
        <w:right w:val="none" w:sz="0" w:space="0" w:color="auto"/>
      </w:divBdr>
    </w:div>
    <w:div w:id="1416440625">
      <w:bodyDiv w:val="1"/>
      <w:marLeft w:val="0"/>
      <w:marRight w:val="0"/>
      <w:marTop w:val="0"/>
      <w:marBottom w:val="0"/>
      <w:divBdr>
        <w:top w:val="none" w:sz="0" w:space="0" w:color="auto"/>
        <w:left w:val="none" w:sz="0" w:space="0" w:color="auto"/>
        <w:bottom w:val="none" w:sz="0" w:space="0" w:color="auto"/>
        <w:right w:val="none" w:sz="0" w:space="0" w:color="auto"/>
      </w:divBdr>
    </w:div>
    <w:div w:id="1423603170">
      <w:bodyDiv w:val="1"/>
      <w:marLeft w:val="0"/>
      <w:marRight w:val="0"/>
      <w:marTop w:val="0"/>
      <w:marBottom w:val="0"/>
      <w:divBdr>
        <w:top w:val="none" w:sz="0" w:space="0" w:color="auto"/>
        <w:left w:val="none" w:sz="0" w:space="0" w:color="auto"/>
        <w:bottom w:val="none" w:sz="0" w:space="0" w:color="auto"/>
        <w:right w:val="none" w:sz="0" w:space="0" w:color="auto"/>
      </w:divBdr>
      <w:divsChild>
        <w:div w:id="433986036">
          <w:marLeft w:val="0"/>
          <w:marRight w:val="0"/>
          <w:marTop w:val="120"/>
          <w:marBottom w:val="120"/>
          <w:divBdr>
            <w:top w:val="none" w:sz="0" w:space="0" w:color="auto"/>
            <w:left w:val="none" w:sz="0" w:space="0" w:color="auto"/>
            <w:bottom w:val="none" w:sz="0" w:space="0" w:color="auto"/>
            <w:right w:val="none" w:sz="0" w:space="0" w:color="auto"/>
          </w:divBdr>
        </w:div>
        <w:div w:id="641470837">
          <w:marLeft w:val="0"/>
          <w:marRight w:val="0"/>
          <w:marTop w:val="120"/>
          <w:marBottom w:val="120"/>
          <w:divBdr>
            <w:top w:val="none" w:sz="0" w:space="0" w:color="auto"/>
            <w:left w:val="none" w:sz="0" w:space="0" w:color="auto"/>
            <w:bottom w:val="none" w:sz="0" w:space="0" w:color="auto"/>
            <w:right w:val="none" w:sz="0" w:space="0" w:color="auto"/>
          </w:divBdr>
        </w:div>
      </w:divsChild>
    </w:div>
    <w:div w:id="1424836202">
      <w:bodyDiv w:val="1"/>
      <w:marLeft w:val="0"/>
      <w:marRight w:val="0"/>
      <w:marTop w:val="0"/>
      <w:marBottom w:val="0"/>
      <w:divBdr>
        <w:top w:val="none" w:sz="0" w:space="0" w:color="auto"/>
        <w:left w:val="none" w:sz="0" w:space="0" w:color="auto"/>
        <w:bottom w:val="none" w:sz="0" w:space="0" w:color="auto"/>
        <w:right w:val="none" w:sz="0" w:space="0" w:color="auto"/>
      </w:divBdr>
    </w:div>
    <w:div w:id="1427655843">
      <w:bodyDiv w:val="1"/>
      <w:marLeft w:val="0"/>
      <w:marRight w:val="0"/>
      <w:marTop w:val="0"/>
      <w:marBottom w:val="0"/>
      <w:divBdr>
        <w:top w:val="none" w:sz="0" w:space="0" w:color="auto"/>
        <w:left w:val="none" w:sz="0" w:space="0" w:color="auto"/>
        <w:bottom w:val="none" w:sz="0" w:space="0" w:color="auto"/>
        <w:right w:val="none" w:sz="0" w:space="0" w:color="auto"/>
      </w:divBdr>
    </w:div>
    <w:div w:id="1442526683">
      <w:bodyDiv w:val="1"/>
      <w:marLeft w:val="0"/>
      <w:marRight w:val="0"/>
      <w:marTop w:val="0"/>
      <w:marBottom w:val="0"/>
      <w:divBdr>
        <w:top w:val="none" w:sz="0" w:space="0" w:color="auto"/>
        <w:left w:val="none" w:sz="0" w:space="0" w:color="auto"/>
        <w:bottom w:val="none" w:sz="0" w:space="0" w:color="auto"/>
        <w:right w:val="none" w:sz="0" w:space="0" w:color="auto"/>
      </w:divBdr>
    </w:div>
    <w:div w:id="1444959539">
      <w:bodyDiv w:val="1"/>
      <w:marLeft w:val="0"/>
      <w:marRight w:val="0"/>
      <w:marTop w:val="0"/>
      <w:marBottom w:val="0"/>
      <w:divBdr>
        <w:top w:val="none" w:sz="0" w:space="0" w:color="auto"/>
        <w:left w:val="none" w:sz="0" w:space="0" w:color="auto"/>
        <w:bottom w:val="none" w:sz="0" w:space="0" w:color="auto"/>
        <w:right w:val="none" w:sz="0" w:space="0" w:color="auto"/>
      </w:divBdr>
      <w:divsChild>
        <w:div w:id="1803494118">
          <w:marLeft w:val="0"/>
          <w:marRight w:val="0"/>
          <w:marTop w:val="120"/>
          <w:marBottom w:val="120"/>
          <w:divBdr>
            <w:top w:val="none" w:sz="0" w:space="0" w:color="auto"/>
            <w:left w:val="none" w:sz="0" w:space="0" w:color="auto"/>
            <w:bottom w:val="none" w:sz="0" w:space="0" w:color="auto"/>
            <w:right w:val="none" w:sz="0" w:space="0" w:color="auto"/>
          </w:divBdr>
        </w:div>
      </w:divsChild>
    </w:div>
    <w:div w:id="1451435934">
      <w:bodyDiv w:val="1"/>
      <w:marLeft w:val="0"/>
      <w:marRight w:val="0"/>
      <w:marTop w:val="0"/>
      <w:marBottom w:val="0"/>
      <w:divBdr>
        <w:top w:val="none" w:sz="0" w:space="0" w:color="auto"/>
        <w:left w:val="none" w:sz="0" w:space="0" w:color="auto"/>
        <w:bottom w:val="none" w:sz="0" w:space="0" w:color="auto"/>
        <w:right w:val="none" w:sz="0" w:space="0" w:color="auto"/>
      </w:divBdr>
      <w:divsChild>
        <w:div w:id="84153214">
          <w:marLeft w:val="0"/>
          <w:marRight w:val="0"/>
          <w:marTop w:val="0"/>
          <w:marBottom w:val="0"/>
          <w:divBdr>
            <w:top w:val="none" w:sz="0" w:space="0" w:color="auto"/>
            <w:left w:val="none" w:sz="0" w:space="0" w:color="auto"/>
            <w:bottom w:val="none" w:sz="0" w:space="0" w:color="auto"/>
            <w:right w:val="none" w:sz="0" w:space="0" w:color="auto"/>
          </w:divBdr>
          <w:divsChild>
            <w:div w:id="669648203">
              <w:marLeft w:val="0"/>
              <w:marRight w:val="0"/>
              <w:marTop w:val="0"/>
              <w:marBottom w:val="0"/>
              <w:divBdr>
                <w:top w:val="none" w:sz="0" w:space="0" w:color="auto"/>
                <w:left w:val="none" w:sz="0" w:space="0" w:color="auto"/>
                <w:bottom w:val="none" w:sz="0" w:space="0" w:color="auto"/>
                <w:right w:val="none" w:sz="0" w:space="0" w:color="auto"/>
              </w:divBdr>
              <w:divsChild>
                <w:div w:id="133841115">
                  <w:marLeft w:val="0"/>
                  <w:marRight w:val="0"/>
                  <w:marTop w:val="0"/>
                  <w:marBottom w:val="0"/>
                  <w:divBdr>
                    <w:top w:val="none" w:sz="0" w:space="0" w:color="auto"/>
                    <w:left w:val="none" w:sz="0" w:space="0" w:color="auto"/>
                    <w:bottom w:val="none" w:sz="0" w:space="0" w:color="auto"/>
                    <w:right w:val="none" w:sz="0" w:space="0" w:color="auto"/>
                  </w:divBdr>
                  <w:divsChild>
                    <w:div w:id="1650162310">
                      <w:marLeft w:val="0"/>
                      <w:marRight w:val="0"/>
                      <w:marTop w:val="0"/>
                      <w:marBottom w:val="0"/>
                      <w:divBdr>
                        <w:top w:val="none" w:sz="0" w:space="0" w:color="auto"/>
                        <w:left w:val="none" w:sz="0" w:space="0" w:color="auto"/>
                        <w:bottom w:val="none" w:sz="0" w:space="0" w:color="auto"/>
                        <w:right w:val="none" w:sz="0" w:space="0" w:color="auto"/>
                      </w:divBdr>
                      <w:divsChild>
                        <w:div w:id="1894196336">
                          <w:marLeft w:val="0"/>
                          <w:marRight w:val="0"/>
                          <w:marTop w:val="0"/>
                          <w:marBottom w:val="0"/>
                          <w:divBdr>
                            <w:top w:val="none" w:sz="0" w:space="0" w:color="auto"/>
                            <w:left w:val="none" w:sz="0" w:space="0" w:color="auto"/>
                            <w:bottom w:val="none" w:sz="0" w:space="0" w:color="auto"/>
                            <w:right w:val="none" w:sz="0" w:space="0" w:color="auto"/>
                          </w:divBdr>
                          <w:divsChild>
                            <w:div w:id="1860776753">
                              <w:marLeft w:val="0"/>
                              <w:marRight w:val="0"/>
                              <w:marTop w:val="0"/>
                              <w:marBottom w:val="0"/>
                              <w:divBdr>
                                <w:top w:val="none" w:sz="0" w:space="0" w:color="auto"/>
                                <w:left w:val="none" w:sz="0" w:space="0" w:color="auto"/>
                                <w:bottom w:val="none" w:sz="0" w:space="0" w:color="auto"/>
                                <w:right w:val="none" w:sz="0" w:space="0" w:color="auto"/>
                              </w:divBdr>
                              <w:divsChild>
                                <w:div w:id="1184510789">
                                  <w:marLeft w:val="0"/>
                                  <w:marRight w:val="0"/>
                                  <w:marTop w:val="0"/>
                                  <w:marBottom w:val="0"/>
                                  <w:divBdr>
                                    <w:top w:val="none" w:sz="0" w:space="0" w:color="auto"/>
                                    <w:left w:val="none" w:sz="0" w:space="0" w:color="auto"/>
                                    <w:bottom w:val="none" w:sz="0" w:space="0" w:color="auto"/>
                                    <w:right w:val="none" w:sz="0" w:space="0" w:color="auto"/>
                                  </w:divBdr>
                                  <w:divsChild>
                                    <w:div w:id="1697465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55059815">
      <w:bodyDiv w:val="1"/>
      <w:marLeft w:val="0"/>
      <w:marRight w:val="0"/>
      <w:marTop w:val="0"/>
      <w:marBottom w:val="0"/>
      <w:divBdr>
        <w:top w:val="none" w:sz="0" w:space="0" w:color="auto"/>
        <w:left w:val="none" w:sz="0" w:space="0" w:color="auto"/>
        <w:bottom w:val="none" w:sz="0" w:space="0" w:color="auto"/>
        <w:right w:val="none" w:sz="0" w:space="0" w:color="auto"/>
      </w:divBdr>
      <w:divsChild>
        <w:div w:id="605885798">
          <w:marLeft w:val="0"/>
          <w:marRight w:val="0"/>
          <w:marTop w:val="120"/>
          <w:marBottom w:val="120"/>
          <w:divBdr>
            <w:top w:val="none" w:sz="0" w:space="0" w:color="auto"/>
            <w:left w:val="none" w:sz="0" w:space="0" w:color="auto"/>
            <w:bottom w:val="none" w:sz="0" w:space="0" w:color="auto"/>
            <w:right w:val="none" w:sz="0" w:space="0" w:color="auto"/>
          </w:divBdr>
        </w:div>
        <w:div w:id="1983071599">
          <w:marLeft w:val="0"/>
          <w:marRight w:val="0"/>
          <w:marTop w:val="120"/>
          <w:marBottom w:val="120"/>
          <w:divBdr>
            <w:top w:val="none" w:sz="0" w:space="0" w:color="auto"/>
            <w:left w:val="none" w:sz="0" w:space="0" w:color="auto"/>
            <w:bottom w:val="none" w:sz="0" w:space="0" w:color="auto"/>
            <w:right w:val="none" w:sz="0" w:space="0" w:color="auto"/>
          </w:divBdr>
        </w:div>
      </w:divsChild>
    </w:div>
    <w:div w:id="1455634612">
      <w:bodyDiv w:val="1"/>
      <w:marLeft w:val="0"/>
      <w:marRight w:val="0"/>
      <w:marTop w:val="0"/>
      <w:marBottom w:val="0"/>
      <w:divBdr>
        <w:top w:val="none" w:sz="0" w:space="0" w:color="auto"/>
        <w:left w:val="none" w:sz="0" w:space="0" w:color="auto"/>
        <w:bottom w:val="none" w:sz="0" w:space="0" w:color="auto"/>
        <w:right w:val="none" w:sz="0" w:space="0" w:color="auto"/>
      </w:divBdr>
    </w:div>
    <w:div w:id="1494755577">
      <w:bodyDiv w:val="1"/>
      <w:marLeft w:val="0"/>
      <w:marRight w:val="0"/>
      <w:marTop w:val="0"/>
      <w:marBottom w:val="0"/>
      <w:divBdr>
        <w:top w:val="none" w:sz="0" w:space="0" w:color="auto"/>
        <w:left w:val="none" w:sz="0" w:space="0" w:color="auto"/>
        <w:bottom w:val="none" w:sz="0" w:space="0" w:color="auto"/>
        <w:right w:val="none" w:sz="0" w:space="0" w:color="auto"/>
      </w:divBdr>
      <w:divsChild>
        <w:div w:id="532309341">
          <w:marLeft w:val="0"/>
          <w:marRight w:val="0"/>
          <w:marTop w:val="120"/>
          <w:marBottom w:val="120"/>
          <w:divBdr>
            <w:top w:val="none" w:sz="0" w:space="0" w:color="auto"/>
            <w:left w:val="none" w:sz="0" w:space="0" w:color="auto"/>
            <w:bottom w:val="none" w:sz="0" w:space="0" w:color="auto"/>
            <w:right w:val="none" w:sz="0" w:space="0" w:color="auto"/>
          </w:divBdr>
        </w:div>
        <w:div w:id="960309913">
          <w:marLeft w:val="0"/>
          <w:marRight w:val="0"/>
          <w:marTop w:val="120"/>
          <w:marBottom w:val="120"/>
          <w:divBdr>
            <w:top w:val="none" w:sz="0" w:space="0" w:color="auto"/>
            <w:left w:val="none" w:sz="0" w:space="0" w:color="auto"/>
            <w:bottom w:val="none" w:sz="0" w:space="0" w:color="auto"/>
            <w:right w:val="none" w:sz="0" w:space="0" w:color="auto"/>
          </w:divBdr>
        </w:div>
        <w:div w:id="1149371155">
          <w:marLeft w:val="0"/>
          <w:marRight w:val="0"/>
          <w:marTop w:val="120"/>
          <w:marBottom w:val="120"/>
          <w:divBdr>
            <w:top w:val="none" w:sz="0" w:space="0" w:color="auto"/>
            <w:left w:val="none" w:sz="0" w:space="0" w:color="auto"/>
            <w:bottom w:val="none" w:sz="0" w:space="0" w:color="auto"/>
            <w:right w:val="none" w:sz="0" w:space="0" w:color="auto"/>
          </w:divBdr>
        </w:div>
        <w:div w:id="1277326573">
          <w:marLeft w:val="0"/>
          <w:marRight w:val="0"/>
          <w:marTop w:val="120"/>
          <w:marBottom w:val="120"/>
          <w:divBdr>
            <w:top w:val="none" w:sz="0" w:space="0" w:color="auto"/>
            <w:left w:val="none" w:sz="0" w:space="0" w:color="auto"/>
            <w:bottom w:val="none" w:sz="0" w:space="0" w:color="auto"/>
            <w:right w:val="none" w:sz="0" w:space="0" w:color="auto"/>
          </w:divBdr>
        </w:div>
        <w:div w:id="1795905466">
          <w:marLeft w:val="0"/>
          <w:marRight w:val="0"/>
          <w:marTop w:val="120"/>
          <w:marBottom w:val="120"/>
          <w:divBdr>
            <w:top w:val="none" w:sz="0" w:space="0" w:color="auto"/>
            <w:left w:val="none" w:sz="0" w:space="0" w:color="auto"/>
            <w:bottom w:val="none" w:sz="0" w:space="0" w:color="auto"/>
            <w:right w:val="none" w:sz="0" w:space="0" w:color="auto"/>
          </w:divBdr>
        </w:div>
      </w:divsChild>
    </w:div>
    <w:div w:id="1499036969">
      <w:bodyDiv w:val="1"/>
      <w:marLeft w:val="0"/>
      <w:marRight w:val="0"/>
      <w:marTop w:val="0"/>
      <w:marBottom w:val="0"/>
      <w:divBdr>
        <w:top w:val="none" w:sz="0" w:space="0" w:color="auto"/>
        <w:left w:val="none" w:sz="0" w:space="0" w:color="auto"/>
        <w:bottom w:val="none" w:sz="0" w:space="0" w:color="auto"/>
        <w:right w:val="none" w:sz="0" w:space="0" w:color="auto"/>
      </w:divBdr>
      <w:divsChild>
        <w:div w:id="1359500556">
          <w:marLeft w:val="0"/>
          <w:marRight w:val="0"/>
          <w:marTop w:val="120"/>
          <w:marBottom w:val="120"/>
          <w:divBdr>
            <w:top w:val="none" w:sz="0" w:space="0" w:color="auto"/>
            <w:left w:val="none" w:sz="0" w:space="0" w:color="auto"/>
            <w:bottom w:val="none" w:sz="0" w:space="0" w:color="auto"/>
            <w:right w:val="none" w:sz="0" w:space="0" w:color="auto"/>
          </w:divBdr>
        </w:div>
      </w:divsChild>
    </w:div>
    <w:div w:id="1501504810">
      <w:bodyDiv w:val="1"/>
      <w:marLeft w:val="0"/>
      <w:marRight w:val="0"/>
      <w:marTop w:val="0"/>
      <w:marBottom w:val="0"/>
      <w:divBdr>
        <w:top w:val="none" w:sz="0" w:space="0" w:color="auto"/>
        <w:left w:val="none" w:sz="0" w:space="0" w:color="auto"/>
        <w:bottom w:val="none" w:sz="0" w:space="0" w:color="auto"/>
        <w:right w:val="none" w:sz="0" w:space="0" w:color="auto"/>
      </w:divBdr>
      <w:divsChild>
        <w:div w:id="141239154">
          <w:marLeft w:val="0"/>
          <w:marRight w:val="0"/>
          <w:marTop w:val="120"/>
          <w:marBottom w:val="120"/>
          <w:divBdr>
            <w:top w:val="none" w:sz="0" w:space="0" w:color="auto"/>
            <w:left w:val="none" w:sz="0" w:space="0" w:color="auto"/>
            <w:bottom w:val="none" w:sz="0" w:space="0" w:color="auto"/>
            <w:right w:val="none" w:sz="0" w:space="0" w:color="auto"/>
          </w:divBdr>
        </w:div>
      </w:divsChild>
    </w:div>
    <w:div w:id="1502622111">
      <w:bodyDiv w:val="1"/>
      <w:marLeft w:val="0"/>
      <w:marRight w:val="0"/>
      <w:marTop w:val="0"/>
      <w:marBottom w:val="0"/>
      <w:divBdr>
        <w:top w:val="none" w:sz="0" w:space="0" w:color="auto"/>
        <w:left w:val="none" w:sz="0" w:space="0" w:color="auto"/>
        <w:bottom w:val="none" w:sz="0" w:space="0" w:color="auto"/>
        <w:right w:val="none" w:sz="0" w:space="0" w:color="auto"/>
      </w:divBdr>
    </w:div>
    <w:div w:id="1506363758">
      <w:bodyDiv w:val="1"/>
      <w:marLeft w:val="0"/>
      <w:marRight w:val="0"/>
      <w:marTop w:val="0"/>
      <w:marBottom w:val="0"/>
      <w:divBdr>
        <w:top w:val="none" w:sz="0" w:space="0" w:color="auto"/>
        <w:left w:val="none" w:sz="0" w:space="0" w:color="auto"/>
        <w:bottom w:val="none" w:sz="0" w:space="0" w:color="auto"/>
        <w:right w:val="none" w:sz="0" w:space="0" w:color="auto"/>
      </w:divBdr>
    </w:div>
    <w:div w:id="1530096813">
      <w:bodyDiv w:val="1"/>
      <w:marLeft w:val="0"/>
      <w:marRight w:val="0"/>
      <w:marTop w:val="0"/>
      <w:marBottom w:val="0"/>
      <w:divBdr>
        <w:top w:val="none" w:sz="0" w:space="0" w:color="auto"/>
        <w:left w:val="none" w:sz="0" w:space="0" w:color="auto"/>
        <w:bottom w:val="none" w:sz="0" w:space="0" w:color="auto"/>
        <w:right w:val="none" w:sz="0" w:space="0" w:color="auto"/>
      </w:divBdr>
    </w:div>
    <w:div w:id="1541430653">
      <w:bodyDiv w:val="1"/>
      <w:marLeft w:val="0"/>
      <w:marRight w:val="0"/>
      <w:marTop w:val="0"/>
      <w:marBottom w:val="0"/>
      <w:divBdr>
        <w:top w:val="none" w:sz="0" w:space="0" w:color="auto"/>
        <w:left w:val="none" w:sz="0" w:space="0" w:color="auto"/>
        <w:bottom w:val="none" w:sz="0" w:space="0" w:color="auto"/>
        <w:right w:val="none" w:sz="0" w:space="0" w:color="auto"/>
      </w:divBdr>
    </w:div>
    <w:div w:id="1544515789">
      <w:bodyDiv w:val="1"/>
      <w:marLeft w:val="0"/>
      <w:marRight w:val="0"/>
      <w:marTop w:val="0"/>
      <w:marBottom w:val="0"/>
      <w:divBdr>
        <w:top w:val="none" w:sz="0" w:space="0" w:color="auto"/>
        <w:left w:val="none" w:sz="0" w:space="0" w:color="auto"/>
        <w:bottom w:val="none" w:sz="0" w:space="0" w:color="auto"/>
        <w:right w:val="none" w:sz="0" w:space="0" w:color="auto"/>
      </w:divBdr>
    </w:div>
    <w:div w:id="1546134104">
      <w:bodyDiv w:val="1"/>
      <w:marLeft w:val="0"/>
      <w:marRight w:val="0"/>
      <w:marTop w:val="0"/>
      <w:marBottom w:val="0"/>
      <w:divBdr>
        <w:top w:val="none" w:sz="0" w:space="0" w:color="auto"/>
        <w:left w:val="none" w:sz="0" w:space="0" w:color="auto"/>
        <w:bottom w:val="none" w:sz="0" w:space="0" w:color="auto"/>
        <w:right w:val="none" w:sz="0" w:space="0" w:color="auto"/>
      </w:divBdr>
    </w:div>
    <w:div w:id="1548300074">
      <w:bodyDiv w:val="1"/>
      <w:marLeft w:val="0"/>
      <w:marRight w:val="0"/>
      <w:marTop w:val="0"/>
      <w:marBottom w:val="0"/>
      <w:divBdr>
        <w:top w:val="none" w:sz="0" w:space="0" w:color="auto"/>
        <w:left w:val="none" w:sz="0" w:space="0" w:color="auto"/>
        <w:bottom w:val="none" w:sz="0" w:space="0" w:color="auto"/>
        <w:right w:val="none" w:sz="0" w:space="0" w:color="auto"/>
      </w:divBdr>
    </w:div>
    <w:div w:id="1550259694">
      <w:bodyDiv w:val="1"/>
      <w:marLeft w:val="0"/>
      <w:marRight w:val="0"/>
      <w:marTop w:val="0"/>
      <w:marBottom w:val="0"/>
      <w:divBdr>
        <w:top w:val="none" w:sz="0" w:space="0" w:color="auto"/>
        <w:left w:val="none" w:sz="0" w:space="0" w:color="auto"/>
        <w:bottom w:val="none" w:sz="0" w:space="0" w:color="auto"/>
        <w:right w:val="none" w:sz="0" w:space="0" w:color="auto"/>
      </w:divBdr>
      <w:divsChild>
        <w:div w:id="86779896">
          <w:marLeft w:val="0"/>
          <w:marRight w:val="0"/>
          <w:marTop w:val="120"/>
          <w:marBottom w:val="120"/>
          <w:divBdr>
            <w:top w:val="none" w:sz="0" w:space="0" w:color="auto"/>
            <w:left w:val="none" w:sz="0" w:space="0" w:color="auto"/>
            <w:bottom w:val="none" w:sz="0" w:space="0" w:color="auto"/>
            <w:right w:val="none" w:sz="0" w:space="0" w:color="auto"/>
          </w:divBdr>
        </w:div>
      </w:divsChild>
    </w:div>
    <w:div w:id="1568608211">
      <w:bodyDiv w:val="1"/>
      <w:marLeft w:val="0"/>
      <w:marRight w:val="0"/>
      <w:marTop w:val="0"/>
      <w:marBottom w:val="0"/>
      <w:divBdr>
        <w:top w:val="none" w:sz="0" w:space="0" w:color="auto"/>
        <w:left w:val="none" w:sz="0" w:space="0" w:color="auto"/>
        <w:bottom w:val="none" w:sz="0" w:space="0" w:color="auto"/>
        <w:right w:val="none" w:sz="0" w:space="0" w:color="auto"/>
      </w:divBdr>
    </w:div>
    <w:div w:id="1577015113">
      <w:bodyDiv w:val="1"/>
      <w:marLeft w:val="0"/>
      <w:marRight w:val="0"/>
      <w:marTop w:val="0"/>
      <w:marBottom w:val="0"/>
      <w:divBdr>
        <w:top w:val="none" w:sz="0" w:space="0" w:color="auto"/>
        <w:left w:val="none" w:sz="0" w:space="0" w:color="auto"/>
        <w:bottom w:val="none" w:sz="0" w:space="0" w:color="auto"/>
        <w:right w:val="none" w:sz="0" w:space="0" w:color="auto"/>
      </w:divBdr>
    </w:div>
    <w:div w:id="1590962634">
      <w:bodyDiv w:val="1"/>
      <w:marLeft w:val="0"/>
      <w:marRight w:val="0"/>
      <w:marTop w:val="0"/>
      <w:marBottom w:val="0"/>
      <w:divBdr>
        <w:top w:val="none" w:sz="0" w:space="0" w:color="auto"/>
        <w:left w:val="none" w:sz="0" w:space="0" w:color="auto"/>
        <w:bottom w:val="none" w:sz="0" w:space="0" w:color="auto"/>
        <w:right w:val="none" w:sz="0" w:space="0" w:color="auto"/>
      </w:divBdr>
    </w:div>
    <w:div w:id="1597711896">
      <w:bodyDiv w:val="1"/>
      <w:marLeft w:val="0"/>
      <w:marRight w:val="0"/>
      <w:marTop w:val="0"/>
      <w:marBottom w:val="0"/>
      <w:divBdr>
        <w:top w:val="none" w:sz="0" w:space="0" w:color="auto"/>
        <w:left w:val="none" w:sz="0" w:space="0" w:color="auto"/>
        <w:bottom w:val="none" w:sz="0" w:space="0" w:color="auto"/>
        <w:right w:val="none" w:sz="0" w:space="0" w:color="auto"/>
      </w:divBdr>
    </w:div>
    <w:div w:id="1616718307">
      <w:bodyDiv w:val="1"/>
      <w:marLeft w:val="0"/>
      <w:marRight w:val="0"/>
      <w:marTop w:val="0"/>
      <w:marBottom w:val="0"/>
      <w:divBdr>
        <w:top w:val="none" w:sz="0" w:space="0" w:color="auto"/>
        <w:left w:val="none" w:sz="0" w:space="0" w:color="auto"/>
        <w:bottom w:val="none" w:sz="0" w:space="0" w:color="auto"/>
        <w:right w:val="none" w:sz="0" w:space="0" w:color="auto"/>
      </w:divBdr>
    </w:div>
    <w:div w:id="1627156091">
      <w:bodyDiv w:val="1"/>
      <w:marLeft w:val="0"/>
      <w:marRight w:val="0"/>
      <w:marTop w:val="0"/>
      <w:marBottom w:val="0"/>
      <w:divBdr>
        <w:top w:val="none" w:sz="0" w:space="0" w:color="auto"/>
        <w:left w:val="none" w:sz="0" w:space="0" w:color="auto"/>
        <w:bottom w:val="none" w:sz="0" w:space="0" w:color="auto"/>
        <w:right w:val="none" w:sz="0" w:space="0" w:color="auto"/>
      </w:divBdr>
      <w:divsChild>
        <w:div w:id="2134907681">
          <w:marLeft w:val="0"/>
          <w:marRight w:val="0"/>
          <w:marTop w:val="0"/>
          <w:marBottom w:val="0"/>
          <w:divBdr>
            <w:top w:val="none" w:sz="0" w:space="0" w:color="auto"/>
            <w:left w:val="none" w:sz="0" w:space="0" w:color="auto"/>
            <w:bottom w:val="none" w:sz="0" w:space="0" w:color="auto"/>
            <w:right w:val="none" w:sz="0" w:space="0" w:color="auto"/>
          </w:divBdr>
          <w:divsChild>
            <w:div w:id="1381133766">
              <w:marLeft w:val="0"/>
              <w:marRight w:val="0"/>
              <w:marTop w:val="0"/>
              <w:marBottom w:val="0"/>
              <w:divBdr>
                <w:top w:val="none" w:sz="0" w:space="0" w:color="auto"/>
                <w:left w:val="none" w:sz="0" w:space="0" w:color="auto"/>
                <w:bottom w:val="none" w:sz="0" w:space="0" w:color="auto"/>
                <w:right w:val="none" w:sz="0" w:space="0" w:color="auto"/>
              </w:divBdr>
              <w:divsChild>
                <w:div w:id="1897622171">
                  <w:marLeft w:val="0"/>
                  <w:marRight w:val="0"/>
                  <w:marTop w:val="0"/>
                  <w:marBottom w:val="0"/>
                  <w:divBdr>
                    <w:top w:val="none" w:sz="0" w:space="0" w:color="auto"/>
                    <w:left w:val="none" w:sz="0" w:space="0" w:color="auto"/>
                    <w:bottom w:val="none" w:sz="0" w:space="0" w:color="auto"/>
                    <w:right w:val="none" w:sz="0" w:space="0" w:color="auto"/>
                  </w:divBdr>
                  <w:divsChild>
                    <w:div w:id="1293826835">
                      <w:marLeft w:val="0"/>
                      <w:marRight w:val="0"/>
                      <w:marTop w:val="0"/>
                      <w:marBottom w:val="0"/>
                      <w:divBdr>
                        <w:top w:val="none" w:sz="0" w:space="0" w:color="auto"/>
                        <w:left w:val="none" w:sz="0" w:space="0" w:color="auto"/>
                        <w:bottom w:val="none" w:sz="0" w:space="0" w:color="auto"/>
                        <w:right w:val="none" w:sz="0" w:space="0" w:color="auto"/>
                      </w:divBdr>
                      <w:divsChild>
                        <w:div w:id="99301155">
                          <w:marLeft w:val="0"/>
                          <w:marRight w:val="0"/>
                          <w:marTop w:val="0"/>
                          <w:marBottom w:val="0"/>
                          <w:divBdr>
                            <w:top w:val="none" w:sz="0" w:space="0" w:color="auto"/>
                            <w:left w:val="none" w:sz="0" w:space="0" w:color="auto"/>
                            <w:bottom w:val="none" w:sz="0" w:space="0" w:color="auto"/>
                            <w:right w:val="none" w:sz="0" w:space="0" w:color="auto"/>
                          </w:divBdr>
                          <w:divsChild>
                            <w:div w:id="21173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6569434">
      <w:bodyDiv w:val="1"/>
      <w:marLeft w:val="0"/>
      <w:marRight w:val="0"/>
      <w:marTop w:val="0"/>
      <w:marBottom w:val="0"/>
      <w:divBdr>
        <w:top w:val="none" w:sz="0" w:space="0" w:color="auto"/>
        <w:left w:val="none" w:sz="0" w:space="0" w:color="auto"/>
        <w:bottom w:val="none" w:sz="0" w:space="0" w:color="auto"/>
        <w:right w:val="none" w:sz="0" w:space="0" w:color="auto"/>
      </w:divBdr>
    </w:div>
    <w:div w:id="1642226956">
      <w:bodyDiv w:val="1"/>
      <w:marLeft w:val="0"/>
      <w:marRight w:val="0"/>
      <w:marTop w:val="0"/>
      <w:marBottom w:val="0"/>
      <w:divBdr>
        <w:top w:val="none" w:sz="0" w:space="0" w:color="auto"/>
        <w:left w:val="none" w:sz="0" w:space="0" w:color="auto"/>
        <w:bottom w:val="none" w:sz="0" w:space="0" w:color="auto"/>
        <w:right w:val="none" w:sz="0" w:space="0" w:color="auto"/>
      </w:divBdr>
      <w:divsChild>
        <w:div w:id="2013216261">
          <w:marLeft w:val="0"/>
          <w:marRight w:val="0"/>
          <w:marTop w:val="120"/>
          <w:marBottom w:val="120"/>
          <w:divBdr>
            <w:top w:val="none" w:sz="0" w:space="0" w:color="auto"/>
            <w:left w:val="none" w:sz="0" w:space="0" w:color="auto"/>
            <w:bottom w:val="none" w:sz="0" w:space="0" w:color="auto"/>
            <w:right w:val="none" w:sz="0" w:space="0" w:color="auto"/>
          </w:divBdr>
        </w:div>
      </w:divsChild>
    </w:div>
    <w:div w:id="1654484953">
      <w:bodyDiv w:val="1"/>
      <w:marLeft w:val="0"/>
      <w:marRight w:val="0"/>
      <w:marTop w:val="0"/>
      <w:marBottom w:val="0"/>
      <w:divBdr>
        <w:top w:val="none" w:sz="0" w:space="0" w:color="auto"/>
        <w:left w:val="none" w:sz="0" w:space="0" w:color="auto"/>
        <w:bottom w:val="none" w:sz="0" w:space="0" w:color="auto"/>
        <w:right w:val="none" w:sz="0" w:space="0" w:color="auto"/>
      </w:divBdr>
    </w:div>
    <w:div w:id="1677733556">
      <w:bodyDiv w:val="1"/>
      <w:marLeft w:val="0"/>
      <w:marRight w:val="0"/>
      <w:marTop w:val="0"/>
      <w:marBottom w:val="0"/>
      <w:divBdr>
        <w:top w:val="none" w:sz="0" w:space="0" w:color="auto"/>
        <w:left w:val="none" w:sz="0" w:space="0" w:color="auto"/>
        <w:bottom w:val="none" w:sz="0" w:space="0" w:color="auto"/>
        <w:right w:val="none" w:sz="0" w:space="0" w:color="auto"/>
      </w:divBdr>
    </w:div>
    <w:div w:id="1714306033">
      <w:bodyDiv w:val="1"/>
      <w:marLeft w:val="0"/>
      <w:marRight w:val="0"/>
      <w:marTop w:val="0"/>
      <w:marBottom w:val="0"/>
      <w:divBdr>
        <w:top w:val="none" w:sz="0" w:space="0" w:color="auto"/>
        <w:left w:val="none" w:sz="0" w:space="0" w:color="auto"/>
        <w:bottom w:val="none" w:sz="0" w:space="0" w:color="auto"/>
        <w:right w:val="none" w:sz="0" w:space="0" w:color="auto"/>
      </w:divBdr>
    </w:div>
    <w:div w:id="1717507468">
      <w:bodyDiv w:val="1"/>
      <w:marLeft w:val="0"/>
      <w:marRight w:val="0"/>
      <w:marTop w:val="0"/>
      <w:marBottom w:val="0"/>
      <w:divBdr>
        <w:top w:val="none" w:sz="0" w:space="0" w:color="auto"/>
        <w:left w:val="none" w:sz="0" w:space="0" w:color="auto"/>
        <w:bottom w:val="none" w:sz="0" w:space="0" w:color="auto"/>
        <w:right w:val="none" w:sz="0" w:space="0" w:color="auto"/>
      </w:divBdr>
    </w:div>
    <w:div w:id="1725526206">
      <w:bodyDiv w:val="1"/>
      <w:marLeft w:val="0"/>
      <w:marRight w:val="0"/>
      <w:marTop w:val="0"/>
      <w:marBottom w:val="0"/>
      <w:divBdr>
        <w:top w:val="none" w:sz="0" w:space="0" w:color="auto"/>
        <w:left w:val="none" w:sz="0" w:space="0" w:color="auto"/>
        <w:bottom w:val="none" w:sz="0" w:space="0" w:color="auto"/>
        <w:right w:val="none" w:sz="0" w:space="0" w:color="auto"/>
      </w:divBdr>
    </w:div>
    <w:div w:id="1730574501">
      <w:bodyDiv w:val="1"/>
      <w:marLeft w:val="0"/>
      <w:marRight w:val="0"/>
      <w:marTop w:val="0"/>
      <w:marBottom w:val="0"/>
      <w:divBdr>
        <w:top w:val="none" w:sz="0" w:space="0" w:color="auto"/>
        <w:left w:val="none" w:sz="0" w:space="0" w:color="auto"/>
        <w:bottom w:val="none" w:sz="0" w:space="0" w:color="auto"/>
        <w:right w:val="none" w:sz="0" w:space="0" w:color="auto"/>
      </w:divBdr>
    </w:div>
    <w:div w:id="1734349497">
      <w:bodyDiv w:val="1"/>
      <w:marLeft w:val="0"/>
      <w:marRight w:val="0"/>
      <w:marTop w:val="0"/>
      <w:marBottom w:val="0"/>
      <w:divBdr>
        <w:top w:val="none" w:sz="0" w:space="0" w:color="auto"/>
        <w:left w:val="none" w:sz="0" w:space="0" w:color="auto"/>
        <w:bottom w:val="none" w:sz="0" w:space="0" w:color="auto"/>
        <w:right w:val="none" w:sz="0" w:space="0" w:color="auto"/>
      </w:divBdr>
    </w:div>
    <w:div w:id="1755514039">
      <w:bodyDiv w:val="1"/>
      <w:marLeft w:val="0"/>
      <w:marRight w:val="0"/>
      <w:marTop w:val="0"/>
      <w:marBottom w:val="0"/>
      <w:divBdr>
        <w:top w:val="none" w:sz="0" w:space="0" w:color="auto"/>
        <w:left w:val="none" w:sz="0" w:space="0" w:color="auto"/>
        <w:bottom w:val="none" w:sz="0" w:space="0" w:color="auto"/>
        <w:right w:val="none" w:sz="0" w:space="0" w:color="auto"/>
      </w:divBdr>
    </w:div>
    <w:div w:id="1758595846">
      <w:bodyDiv w:val="1"/>
      <w:marLeft w:val="0"/>
      <w:marRight w:val="0"/>
      <w:marTop w:val="0"/>
      <w:marBottom w:val="0"/>
      <w:divBdr>
        <w:top w:val="none" w:sz="0" w:space="0" w:color="auto"/>
        <w:left w:val="none" w:sz="0" w:space="0" w:color="auto"/>
        <w:bottom w:val="none" w:sz="0" w:space="0" w:color="auto"/>
        <w:right w:val="none" w:sz="0" w:space="0" w:color="auto"/>
      </w:divBdr>
      <w:divsChild>
        <w:div w:id="1871062148">
          <w:marLeft w:val="0"/>
          <w:marRight w:val="0"/>
          <w:marTop w:val="120"/>
          <w:marBottom w:val="120"/>
          <w:divBdr>
            <w:top w:val="none" w:sz="0" w:space="0" w:color="auto"/>
            <w:left w:val="none" w:sz="0" w:space="0" w:color="auto"/>
            <w:bottom w:val="none" w:sz="0" w:space="0" w:color="auto"/>
            <w:right w:val="none" w:sz="0" w:space="0" w:color="auto"/>
          </w:divBdr>
        </w:div>
        <w:div w:id="1892495279">
          <w:marLeft w:val="0"/>
          <w:marRight w:val="0"/>
          <w:marTop w:val="120"/>
          <w:marBottom w:val="120"/>
          <w:divBdr>
            <w:top w:val="none" w:sz="0" w:space="0" w:color="auto"/>
            <w:left w:val="none" w:sz="0" w:space="0" w:color="auto"/>
            <w:bottom w:val="none" w:sz="0" w:space="0" w:color="auto"/>
            <w:right w:val="none" w:sz="0" w:space="0" w:color="auto"/>
          </w:divBdr>
        </w:div>
      </w:divsChild>
    </w:div>
    <w:div w:id="1766031048">
      <w:bodyDiv w:val="1"/>
      <w:marLeft w:val="0"/>
      <w:marRight w:val="0"/>
      <w:marTop w:val="0"/>
      <w:marBottom w:val="0"/>
      <w:divBdr>
        <w:top w:val="none" w:sz="0" w:space="0" w:color="auto"/>
        <w:left w:val="none" w:sz="0" w:space="0" w:color="auto"/>
        <w:bottom w:val="none" w:sz="0" w:space="0" w:color="auto"/>
        <w:right w:val="none" w:sz="0" w:space="0" w:color="auto"/>
      </w:divBdr>
    </w:div>
    <w:div w:id="1768188687">
      <w:bodyDiv w:val="1"/>
      <w:marLeft w:val="0"/>
      <w:marRight w:val="0"/>
      <w:marTop w:val="0"/>
      <w:marBottom w:val="0"/>
      <w:divBdr>
        <w:top w:val="none" w:sz="0" w:space="0" w:color="auto"/>
        <w:left w:val="none" w:sz="0" w:space="0" w:color="auto"/>
        <w:bottom w:val="none" w:sz="0" w:space="0" w:color="auto"/>
        <w:right w:val="none" w:sz="0" w:space="0" w:color="auto"/>
      </w:divBdr>
    </w:div>
    <w:div w:id="1772698354">
      <w:bodyDiv w:val="1"/>
      <w:marLeft w:val="0"/>
      <w:marRight w:val="0"/>
      <w:marTop w:val="0"/>
      <w:marBottom w:val="0"/>
      <w:divBdr>
        <w:top w:val="none" w:sz="0" w:space="0" w:color="auto"/>
        <w:left w:val="none" w:sz="0" w:space="0" w:color="auto"/>
        <w:bottom w:val="none" w:sz="0" w:space="0" w:color="auto"/>
        <w:right w:val="none" w:sz="0" w:space="0" w:color="auto"/>
      </w:divBdr>
    </w:div>
    <w:div w:id="1790011092">
      <w:bodyDiv w:val="1"/>
      <w:marLeft w:val="0"/>
      <w:marRight w:val="0"/>
      <w:marTop w:val="0"/>
      <w:marBottom w:val="0"/>
      <w:divBdr>
        <w:top w:val="none" w:sz="0" w:space="0" w:color="auto"/>
        <w:left w:val="none" w:sz="0" w:space="0" w:color="auto"/>
        <w:bottom w:val="none" w:sz="0" w:space="0" w:color="auto"/>
        <w:right w:val="none" w:sz="0" w:space="0" w:color="auto"/>
      </w:divBdr>
      <w:divsChild>
        <w:div w:id="1444377070">
          <w:marLeft w:val="0"/>
          <w:marRight w:val="0"/>
          <w:marTop w:val="0"/>
          <w:marBottom w:val="0"/>
          <w:divBdr>
            <w:top w:val="none" w:sz="0" w:space="0" w:color="auto"/>
            <w:left w:val="none" w:sz="0" w:space="0" w:color="auto"/>
            <w:bottom w:val="none" w:sz="0" w:space="0" w:color="auto"/>
            <w:right w:val="none" w:sz="0" w:space="0" w:color="auto"/>
          </w:divBdr>
          <w:divsChild>
            <w:div w:id="2111925878">
              <w:marLeft w:val="0"/>
              <w:marRight w:val="0"/>
              <w:marTop w:val="0"/>
              <w:marBottom w:val="0"/>
              <w:divBdr>
                <w:top w:val="none" w:sz="0" w:space="0" w:color="auto"/>
                <w:left w:val="none" w:sz="0" w:space="0" w:color="auto"/>
                <w:bottom w:val="none" w:sz="0" w:space="0" w:color="auto"/>
                <w:right w:val="none" w:sz="0" w:space="0" w:color="auto"/>
              </w:divBdr>
              <w:divsChild>
                <w:div w:id="457996993">
                  <w:marLeft w:val="0"/>
                  <w:marRight w:val="0"/>
                  <w:marTop w:val="0"/>
                  <w:marBottom w:val="0"/>
                  <w:divBdr>
                    <w:top w:val="none" w:sz="0" w:space="0" w:color="auto"/>
                    <w:left w:val="none" w:sz="0" w:space="0" w:color="auto"/>
                    <w:bottom w:val="none" w:sz="0" w:space="0" w:color="auto"/>
                    <w:right w:val="none" w:sz="0" w:space="0" w:color="auto"/>
                  </w:divBdr>
                  <w:divsChild>
                    <w:div w:id="1596013469">
                      <w:marLeft w:val="0"/>
                      <w:marRight w:val="0"/>
                      <w:marTop w:val="0"/>
                      <w:marBottom w:val="0"/>
                      <w:divBdr>
                        <w:top w:val="none" w:sz="0" w:space="0" w:color="auto"/>
                        <w:left w:val="none" w:sz="0" w:space="0" w:color="auto"/>
                        <w:bottom w:val="none" w:sz="0" w:space="0" w:color="auto"/>
                        <w:right w:val="none" w:sz="0" w:space="0" w:color="auto"/>
                      </w:divBdr>
                      <w:divsChild>
                        <w:div w:id="1553344457">
                          <w:marLeft w:val="0"/>
                          <w:marRight w:val="0"/>
                          <w:marTop w:val="0"/>
                          <w:marBottom w:val="0"/>
                          <w:divBdr>
                            <w:top w:val="none" w:sz="0" w:space="0" w:color="auto"/>
                            <w:left w:val="none" w:sz="0" w:space="0" w:color="auto"/>
                            <w:bottom w:val="none" w:sz="0" w:space="0" w:color="auto"/>
                            <w:right w:val="none" w:sz="0" w:space="0" w:color="auto"/>
                          </w:divBdr>
                          <w:divsChild>
                            <w:div w:id="238834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2238461">
      <w:bodyDiv w:val="1"/>
      <w:marLeft w:val="0"/>
      <w:marRight w:val="0"/>
      <w:marTop w:val="0"/>
      <w:marBottom w:val="0"/>
      <w:divBdr>
        <w:top w:val="none" w:sz="0" w:space="0" w:color="auto"/>
        <w:left w:val="none" w:sz="0" w:space="0" w:color="auto"/>
        <w:bottom w:val="none" w:sz="0" w:space="0" w:color="auto"/>
        <w:right w:val="none" w:sz="0" w:space="0" w:color="auto"/>
      </w:divBdr>
    </w:div>
    <w:div w:id="1792900928">
      <w:bodyDiv w:val="1"/>
      <w:marLeft w:val="0"/>
      <w:marRight w:val="0"/>
      <w:marTop w:val="0"/>
      <w:marBottom w:val="0"/>
      <w:divBdr>
        <w:top w:val="none" w:sz="0" w:space="0" w:color="auto"/>
        <w:left w:val="none" w:sz="0" w:space="0" w:color="auto"/>
        <w:bottom w:val="none" w:sz="0" w:space="0" w:color="auto"/>
        <w:right w:val="none" w:sz="0" w:space="0" w:color="auto"/>
      </w:divBdr>
    </w:div>
    <w:div w:id="1805393643">
      <w:bodyDiv w:val="1"/>
      <w:marLeft w:val="0"/>
      <w:marRight w:val="0"/>
      <w:marTop w:val="0"/>
      <w:marBottom w:val="0"/>
      <w:divBdr>
        <w:top w:val="none" w:sz="0" w:space="0" w:color="auto"/>
        <w:left w:val="none" w:sz="0" w:space="0" w:color="auto"/>
        <w:bottom w:val="none" w:sz="0" w:space="0" w:color="auto"/>
        <w:right w:val="none" w:sz="0" w:space="0" w:color="auto"/>
      </w:divBdr>
    </w:div>
    <w:div w:id="1811480733">
      <w:bodyDiv w:val="1"/>
      <w:marLeft w:val="0"/>
      <w:marRight w:val="0"/>
      <w:marTop w:val="0"/>
      <w:marBottom w:val="0"/>
      <w:divBdr>
        <w:top w:val="none" w:sz="0" w:space="0" w:color="auto"/>
        <w:left w:val="none" w:sz="0" w:space="0" w:color="auto"/>
        <w:bottom w:val="none" w:sz="0" w:space="0" w:color="auto"/>
        <w:right w:val="none" w:sz="0" w:space="0" w:color="auto"/>
      </w:divBdr>
    </w:div>
    <w:div w:id="1814523083">
      <w:bodyDiv w:val="1"/>
      <w:marLeft w:val="0"/>
      <w:marRight w:val="0"/>
      <w:marTop w:val="0"/>
      <w:marBottom w:val="0"/>
      <w:divBdr>
        <w:top w:val="none" w:sz="0" w:space="0" w:color="auto"/>
        <w:left w:val="none" w:sz="0" w:space="0" w:color="auto"/>
        <w:bottom w:val="none" w:sz="0" w:space="0" w:color="auto"/>
        <w:right w:val="none" w:sz="0" w:space="0" w:color="auto"/>
      </w:divBdr>
    </w:div>
    <w:div w:id="1816138700">
      <w:bodyDiv w:val="1"/>
      <w:marLeft w:val="0"/>
      <w:marRight w:val="0"/>
      <w:marTop w:val="0"/>
      <w:marBottom w:val="0"/>
      <w:divBdr>
        <w:top w:val="none" w:sz="0" w:space="0" w:color="auto"/>
        <w:left w:val="none" w:sz="0" w:space="0" w:color="auto"/>
        <w:bottom w:val="none" w:sz="0" w:space="0" w:color="auto"/>
        <w:right w:val="none" w:sz="0" w:space="0" w:color="auto"/>
      </w:divBdr>
    </w:div>
    <w:div w:id="1822308996">
      <w:bodyDiv w:val="1"/>
      <w:marLeft w:val="0"/>
      <w:marRight w:val="0"/>
      <w:marTop w:val="0"/>
      <w:marBottom w:val="0"/>
      <w:divBdr>
        <w:top w:val="none" w:sz="0" w:space="0" w:color="auto"/>
        <w:left w:val="none" w:sz="0" w:space="0" w:color="auto"/>
        <w:bottom w:val="none" w:sz="0" w:space="0" w:color="auto"/>
        <w:right w:val="none" w:sz="0" w:space="0" w:color="auto"/>
      </w:divBdr>
    </w:div>
    <w:div w:id="1823425988">
      <w:bodyDiv w:val="1"/>
      <w:marLeft w:val="0"/>
      <w:marRight w:val="0"/>
      <w:marTop w:val="0"/>
      <w:marBottom w:val="0"/>
      <w:divBdr>
        <w:top w:val="none" w:sz="0" w:space="0" w:color="auto"/>
        <w:left w:val="none" w:sz="0" w:space="0" w:color="auto"/>
        <w:bottom w:val="none" w:sz="0" w:space="0" w:color="auto"/>
        <w:right w:val="none" w:sz="0" w:space="0" w:color="auto"/>
      </w:divBdr>
    </w:div>
    <w:div w:id="1849976595">
      <w:bodyDiv w:val="1"/>
      <w:marLeft w:val="0"/>
      <w:marRight w:val="0"/>
      <w:marTop w:val="0"/>
      <w:marBottom w:val="0"/>
      <w:divBdr>
        <w:top w:val="none" w:sz="0" w:space="0" w:color="auto"/>
        <w:left w:val="none" w:sz="0" w:space="0" w:color="auto"/>
        <w:bottom w:val="none" w:sz="0" w:space="0" w:color="auto"/>
        <w:right w:val="none" w:sz="0" w:space="0" w:color="auto"/>
      </w:divBdr>
    </w:div>
    <w:div w:id="1871531654">
      <w:bodyDiv w:val="1"/>
      <w:marLeft w:val="0"/>
      <w:marRight w:val="0"/>
      <w:marTop w:val="0"/>
      <w:marBottom w:val="0"/>
      <w:divBdr>
        <w:top w:val="none" w:sz="0" w:space="0" w:color="auto"/>
        <w:left w:val="none" w:sz="0" w:space="0" w:color="auto"/>
        <w:bottom w:val="none" w:sz="0" w:space="0" w:color="auto"/>
        <w:right w:val="none" w:sz="0" w:space="0" w:color="auto"/>
      </w:divBdr>
      <w:divsChild>
        <w:div w:id="1931961087">
          <w:marLeft w:val="0"/>
          <w:marRight w:val="0"/>
          <w:marTop w:val="0"/>
          <w:marBottom w:val="0"/>
          <w:divBdr>
            <w:top w:val="none" w:sz="0" w:space="0" w:color="auto"/>
            <w:left w:val="none" w:sz="0" w:space="0" w:color="auto"/>
            <w:bottom w:val="none" w:sz="0" w:space="0" w:color="auto"/>
            <w:right w:val="none" w:sz="0" w:space="0" w:color="auto"/>
          </w:divBdr>
          <w:divsChild>
            <w:div w:id="782576783">
              <w:marLeft w:val="0"/>
              <w:marRight w:val="0"/>
              <w:marTop w:val="0"/>
              <w:marBottom w:val="0"/>
              <w:divBdr>
                <w:top w:val="none" w:sz="0" w:space="0" w:color="auto"/>
                <w:left w:val="none" w:sz="0" w:space="0" w:color="auto"/>
                <w:bottom w:val="none" w:sz="0" w:space="0" w:color="auto"/>
                <w:right w:val="none" w:sz="0" w:space="0" w:color="auto"/>
              </w:divBdr>
              <w:divsChild>
                <w:div w:id="452213722">
                  <w:marLeft w:val="0"/>
                  <w:marRight w:val="0"/>
                  <w:marTop w:val="0"/>
                  <w:marBottom w:val="0"/>
                  <w:divBdr>
                    <w:top w:val="none" w:sz="0" w:space="0" w:color="auto"/>
                    <w:left w:val="none" w:sz="0" w:space="0" w:color="auto"/>
                    <w:bottom w:val="none" w:sz="0" w:space="0" w:color="auto"/>
                    <w:right w:val="none" w:sz="0" w:space="0" w:color="auto"/>
                  </w:divBdr>
                  <w:divsChild>
                    <w:div w:id="1227763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7083110">
      <w:bodyDiv w:val="1"/>
      <w:marLeft w:val="0"/>
      <w:marRight w:val="0"/>
      <w:marTop w:val="0"/>
      <w:marBottom w:val="0"/>
      <w:divBdr>
        <w:top w:val="none" w:sz="0" w:space="0" w:color="auto"/>
        <w:left w:val="none" w:sz="0" w:space="0" w:color="auto"/>
        <w:bottom w:val="none" w:sz="0" w:space="0" w:color="auto"/>
        <w:right w:val="none" w:sz="0" w:space="0" w:color="auto"/>
      </w:divBdr>
    </w:div>
    <w:div w:id="1889758669">
      <w:bodyDiv w:val="1"/>
      <w:marLeft w:val="0"/>
      <w:marRight w:val="0"/>
      <w:marTop w:val="0"/>
      <w:marBottom w:val="0"/>
      <w:divBdr>
        <w:top w:val="none" w:sz="0" w:space="0" w:color="auto"/>
        <w:left w:val="none" w:sz="0" w:space="0" w:color="auto"/>
        <w:bottom w:val="none" w:sz="0" w:space="0" w:color="auto"/>
        <w:right w:val="none" w:sz="0" w:space="0" w:color="auto"/>
      </w:divBdr>
    </w:div>
    <w:div w:id="1900162848">
      <w:bodyDiv w:val="1"/>
      <w:marLeft w:val="0"/>
      <w:marRight w:val="0"/>
      <w:marTop w:val="0"/>
      <w:marBottom w:val="0"/>
      <w:divBdr>
        <w:top w:val="none" w:sz="0" w:space="0" w:color="auto"/>
        <w:left w:val="none" w:sz="0" w:space="0" w:color="auto"/>
        <w:bottom w:val="none" w:sz="0" w:space="0" w:color="auto"/>
        <w:right w:val="none" w:sz="0" w:space="0" w:color="auto"/>
      </w:divBdr>
    </w:div>
    <w:div w:id="1925409719">
      <w:bodyDiv w:val="1"/>
      <w:marLeft w:val="0"/>
      <w:marRight w:val="0"/>
      <w:marTop w:val="0"/>
      <w:marBottom w:val="0"/>
      <w:divBdr>
        <w:top w:val="none" w:sz="0" w:space="0" w:color="auto"/>
        <w:left w:val="none" w:sz="0" w:space="0" w:color="auto"/>
        <w:bottom w:val="none" w:sz="0" w:space="0" w:color="auto"/>
        <w:right w:val="none" w:sz="0" w:space="0" w:color="auto"/>
      </w:divBdr>
    </w:div>
    <w:div w:id="1929849168">
      <w:bodyDiv w:val="1"/>
      <w:marLeft w:val="0"/>
      <w:marRight w:val="0"/>
      <w:marTop w:val="0"/>
      <w:marBottom w:val="0"/>
      <w:divBdr>
        <w:top w:val="none" w:sz="0" w:space="0" w:color="auto"/>
        <w:left w:val="none" w:sz="0" w:space="0" w:color="auto"/>
        <w:bottom w:val="none" w:sz="0" w:space="0" w:color="auto"/>
        <w:right w:val="none" w:sz="0" w:space="0" w:color="auto"/>
      </w:divBdr>
    </w:div>
    <w:div w:id="1933470546">
      <w:bodyDiv w:val="1"/>
      <w:marLeft w:val="0"/>
      <w:marRight w:val="0"/>
      <w:marTop w:val="0"/>
      <w:marBottom w:val="0"/>
      <w:divBdr>
        <w:top w:val="none" w:sz="0" w:space="0" w:color="auto"/>
        <w:left w:val="none" w:sz="0" w:space="0" w:color="auto"/>
        <w:bottom w:val="none" w:sz="0" w:space="0" w:color="auto"/>
        <w:right w:val="none" w:sz="0" w:space="0" w:color="auto"/>
      </w:divBdr>
    </w:div>
    <w:div w:id="1937711062">
      <w:bodyDiv w:val="1"/>
      <w:marLeft w:val="0"/>
      <w:marRight w:val="0"/>
      <w:marTop w:val="0"/>
      <w:marBottom w:val="0"/>
      <w:divBdr>
        <w:top w:val="none" w:sz="0" w:space="0" w:color="auto"/>
        <w:left w:val="none" w:sz="0" w:space="0" w:color="auto"/>
        <w:bottom w:val="none" w:sz="0" w:space="0" w:color="auto"/>
        <w:right w:val="none" w:sz="0" w:space="0" w:color="auto"/>
      </w:divBdr>
      <w:divsChild>
        <w:div w:id="2047213704">
          <w:marLeft w:val="0"/>
          <w:marRight w:val="0"/>
          <w:marTop w:val="0"/>
          <w:marBottom w:val="0"/>
          <w:divBdr>
            <w:top w:val="none" w:sz="0" w:space="0" w:color="auto"/>
            <w:left w:val="none" w:sz="0" w:space="0" w:color="auto"/>
            <w:bottom w:val="none" w:sz="0" w:space="0" w:color="auto"/>
            <w:right w:val="none" w:sz="0" w:space="0" w:color="auto"/>
          </w:divBdr>
          <w:divsChild>
            <w:div w:id="1627199990">
              <w:marLeft w:val="0"/>
              <w:marRight w:val="0"/>
              <w:marTop w:val="0"/>
              <w:marBottom w:val="0"/>
              <w:divBdr>
                <w:top w:val="none" w:sz="0" w:space="0" w:color="auto"/>
                <w:left w:val="none" w:sz="0" w:space="0" w:color="auto"/>
                <w:bottom w:val="none" w:sz="0" w:space="0" w:color="auto"/>
                <w:right w:val="none" w:sz="0" w:space="0" w:color="auto"/>
              </w:divBdr>
              <w:divsChild>
                <w:div w:id="798914321">
                  <w:marLeft w:val="0"/>
                  <w:marRight w:val="0"/>
                  <w:marTop w:val="0"/>
                  <w:marBottom w:val="0"/>
                  <w:divBdr>
                    <w:top w:val="none" w:sz="0" w:space="0" w:color="auto"/>
                    <w:left w:val="none" w:sz="0" w:space="0" w:color="auto"/>
                    <w:bottom w:val="none" w:sz="0" w:space="0" w:color="auto"/>
                    <w:right w:val="none" w:sz="0" w:space="0" w:color="auto"/>
                  </w:divBdr>
                  <w:divsChild>
                    <w:div w:id="936715381">
                      <w:marLeft w:val="0"/>
                      <w:marRight w:val="0"/>
                      <w:marTop w:val="0"/>
                      <w:marBottom w:val="0"/>
                      <w:divBdr>
                        <w:top w:val="none" w:sz="0" w:space="0" w:color="auto"/>
                        <w:left w:val="none" w:sz="0" w:space="0" w:color="auto"/>
                        <w:bottom w:val="none" w:sz="0" w:space="0" w:color="auto"/>
                        <w:right w:val="none" w:sz="0" w:space="0" w:color="auto"/>
                      </w:divBdr>
                      <w:divsChild>
                        <w:div w:id="1619481360">
                          <w:marLeft w:val="0"/>
                          <w:marRight w:val="0"/>
                          <w:marTop w:val="0"/>
                          <w:marBottom w:val="0"/>
                          <w:divBdr>
                            <w:top w:val="none" w:sz="0" w:space="0" w:color="auto"/>
                            <w:left w:val="none" w:sz="0" w:space="0" w:color="auto"/>
                            <w:bottom w:val="none" w:sz="0" w:space="0" w:color="auto"/>
                            <w:right w:val="none" w:sz="0" w:space="0" w:color="auto"/>
                          </w:divBdr>
                          <w:divsChild>
                            <w:div w:id="1387024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4091209">
      <w:bodyDiv w:val="1"/>
      <w:marLeft w:val="0"/>
      <w:marRight w:val="0"/>
      <w:marTop w:val="0"/>
      <w:marBottom w:val="0"/>
      <w:divBdr>
        <w:top w:val="none" w:sz="0" w:space="0" w:color="auto"/>
        <w:left w:val="none" w:sz="0" w:space="0" w:color="auto"/>
        <w:bottom w:val="none" w:sz="0" w:space="0" w:color="auto"/>
        <w:right w:val="none" w:sz="0" w:space="0" w:color="auto"/>
      </w:divBdr>
    </w:div>
    <w:div w:id="1983733000">
      <w:bodyDiv w:val="1"/>
      <w:marLeft w:val="0"/>
      <w:marRight w:val="0"/>
      <w:marTop w:val="0"/>
      <w:marBottom w:val="0"/>
      <w:divBdr>
        <w:top w:val="none" w:sz="0" w:space="0" w:color="auto"/>
        <w:left w:val="none" w:sz="0" w:space="0" w:color="auto"/>
        <w:bottom w:val="none" w:sz="0" w:space="0" w:color="auto"/>
        <w:right w:val="none" w:sz="0" w:space="0" w:color="auto"/>
      </w:divBdr>
    </w:div>
    <w:div w:id="1985234505">
      <w:bodyDiv w:val="1"/>
      <w:marLeft w:val="0"/>
      <w:marRight w:val="0"/>
      <w:marTop w:val="0"/>
      <w:marBottom w:val="0"/>
      <w:divBdr>
        <w:top w:val="none" w:sz="0" w:space="0" w:color="auto"/>
        <w:left w:val="none" w:sz="0" w:space="0" w:color="auto"/>
        <w:bottom w:val="none" w:sz="0" w:space="0" w:color="auto"/>
        <w:right w:val="none" w:sz="0" w:space="0" w:color="auto"/>
      </w:divBdr>
      <w:divsChild>
        <w:div w:id="2022732754">
          <w:marLeft w:val="0"/>
          <w:marRight w:val="0"/>
          <w:marTop w:val="120"/>
          <w:marBottom w:val="120"/>
          <w:divBdr>
            <w:top w:val="none" w:sz="0" w:space="0" w:color="auto"/>
            <w:left w:val="none" w:sz="0" w:space="0" w:color="auto"/>
            <w:bottom w:val="none" w:sz="0" w:space="0" w:color="auto"/>
            <w:right w:val="none" w:sz="0" w:space="0" w:color="auto"/>
          </w:divBdr>
        </w:div>
      </w:divsChild>
    </w:div>
    <w:div w:id="1986932304">
      <w:bodyDiv w:val="1"/>
      <w:marLeft w:val="0"/>
      <w:marRight w:val="0"/>
      <w:marTop w:val="0"/>
      <w:marBottom w:val="0"/>
      <w:divBdr>
        <w:top w:val="none" w:sz="0" w:space="0" w:color="auto"/>
        <w:left w:val="none" w:sz="0" w:space="0" w:color="auto"/>
        <w:bottom w:val="none" w:sz="0" w:space="0" w:color="auto"/>
        <w:right w:val="none" w:sz="0" w:space="0" w:color="auto"/>
      </w:divBdr>
      <w:divsChild>
        <w:div w:id="1297178804">
          <w:marLeft w:val="0"/>
          <w:marRight w:val="0"/>
          <w:marTop w:val="120"/>
          <w:marBottom w:val="120"/>
          <w:divBdr>
            <w:top w:val="none" w:sz="0" w:space="0" w:color="auto"/>
            <w:left w:val="none" w:sz="0" w:space="0" w:color="auto"/>
            <w:bottom w:val="none" w:sz="0" w:space="0" w:color="auto"/>
            <w:right w:val="none" w:sz="0" w:space="0" w:color="auto"/>
          </w:divBdr>
        </w:div>
      </w:divsChild>
    </w:div>
    <w:div w:id="1993292577">
      <w:bodyDiv w:val="1"/>
      <w:marLeft w:val="0"/>
      <w:marRight w:val="0"/>
      <w:marTop w:val="0"/>
      <w:marBottom w:val="0"/>
      <w:divBdr>
        <w:top w:val="none" w:sz="0" w:space="0" w:color="auto"/>
        <w:left w:val="none" w:sz="0" w:space="0" w:color="auto"/>
        <w:bottom w:val="none" w:sz="0" w:space="0" w:color="auto"/>
        <w:right w:val="none" w:sz="0" w:space="0" w:color="auto"/>
      </w:divBdr>
    </w:div>
    <w:div w:id="2021933671">
      <w:bodyDiv w:val="1"/>
      <w:marLeft w:val="0"/>
      <w:marRight w:val="0"/>
      <w:marTop w:val="0"/>
      <w:marBottom w:val="0"/>
      <w:divBdr>
        <w:top w:val="none" w:sz="0" w:space="0" w:color="auto"/>
        <w:left w:val="none" w:sz="0" w:space="0" w:color="auto"/>
        <w:bottom w:val="none" w:sz="0" w:space="0" w:color="auto"/>
        <w:right w:val="none" w:sz="0" w:space="0" w:color="auto"/>
      </w:divBdr>
      <w:divsChild>
        <w:div w:id="698549618">
          <w:marLeft w:val="0"/>
          <w:marRight w:val="0"/>
          <w:marTop w:val="0"/>
          <w:marBottom w:val="0"/>
          <w:divBdr>
            <w:top w:val="none" w:sz="0" w:space="0" w:color="auto"/>
            <w:left w:val="none" w:sz="0" w:space="0" w:color="auto"/>
            <w:bottom w:val="none" w:sz="0" w:space="0" w:color="auto"/>
            <w:right w:val="none" w:sz="0" w:space="0" w:color="auto"/>
          </w:divBdr>
          <w:divsChild>
            <w:div w:id="1507863089">
              <w:marLeft w:val="0"/>
              <w:marRight w:val="0"/>
              <w:marTop w:val="0"/>
              <w:marBottom w:val="0"/>
              <w:divBdr>
                <w:top w:val="none" w:sz="0" w:space="0" w:color="auto"/>
                <w:left w:val="none" w:sz="0" w:space="0" w:color="auto"/>
                <w:bottom w:val="none" w:sz="0" w:space="0" w:color="auto"/>
                <w:right w:val="none" w:sz="0" w:space="0" w:color="auto"/>
              </w:divBdr>
              <w:divsChild>
                <w:div w:id="1406487116">
                  <w:marLeft w:val="0"/>
                  <w:marRight w:val="0"/>
                  <w:marTop w:val="0"/>
                  <w:marBottom w:val="0"/>
                  <w:divBdr>
                    <w:top w:val="none" w:sz="0" w:space="0" w:color="auto"/>
                    <w:left w:val="single" w:sz="12" w:space="9" w:color="D9D9D9"/>
                    <w:bottom w:val="none" w:sz="0" w:space="0" w:color="auto"/>
                    <w:right w:val="none" w:sz="0" w:space="0" w:color="auto"/>
                  </w:divBdr>
                  <w:divsChild>
                    <w:div w:id="1173183823">
                      <w:marLeft w:val="0"/>
                      <w:marRight w:val="0"/>
                      <w:marTop w:val="0"/>
                      <w:marBottom w:val="0"/>
                      <w:divBdr>
                        <w:top w:val="none" w:sz="0" w:space="0" w:color="auto"/>
                        <w:left w:val="none" w:sz="0" w:space="0" w:color="auto"/>
                        <w:bottom w:val="none" w:sz="0" w:space="0" w:color="auto"/>
                        <w:right w:val="none" w:sz="0" w:space="0" w:color="auto"/>
                      </w:divBdr>
                      <w:divsChild>
                        <w:div w:id="440685642">
                          <w:marLeft w:val="0"/>
                          <w:marRight w:val="0"/>
                          <w:marTop w:val="0"/>
                          <w:marBottom w:val="0"/>
                          <w:divBdr>
                            <w:top w:val="none" w:sz="0" w:space="0" w:color="auto"/>
                            <w:left w:val="none" w:sz="0" w:space="0" w:color="auto"/>
                            <w:bottom w:val="none" w:sz="0" w:space="0" w:color="auto"/>
                            <w:right w:val="none" w:sz="0" w:space="0" w:color="auto"/>
                          </w:divBdr>
                        </w:div>
                        <w:div w:id="689916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3705942">
      <w:bodyDiv w:val="1"/>
      <w:marLeft w:val="0"/>
      <w:marRight w:val="0"/>
      <w:marTop w:val="0"/>
      <w:marBottom w:val="0"/>
      <w:divBdr>
        <w:top w:val="none" w:sz="0" w:space="0" w:color="auto"/>
        <w:left w:val="none" w:sz="0" w:space="0" w:color="auto"/>
        <w:bottom w:val="none" w:sz="0" w:space="0" w:color="auto"/>
        <w:right w:val="none" w:sz="0" w:space="0" w:color="auto"/>
      </w:divBdr>
    </w:div>
    <w:div w:id="2025205797">
      <w:bodyDiv w:val="1"/>
      <w:marLeft w:val="0"/>
      <w:marRight w:val="0"/>
      <w:marTop w:val="0"/>
      <w:marBottom w:val="0"/>
      <w:divBdr>
        <w:top w:val="none" w:sz="0" w:space="0" w:color="auto"/>
        <w:left w:val="none" w:sz="0" w:space="0" w:color="auto"/>
        <w:bottom w:val="none" w:sz="0" w:space="0" w:color="auto"/>
        <w:right w:val="none" w:sz="0" w:space="0" w:color="auto"/>
      </w:divBdr>
    </w:div>
    <w:div w:id="2028826404">
      <w:bodyDiv w:val="1"/>
      <w:marLeft w:val="0"/>
      <w:marRight w:val="0"/>
      <w:marTop w:val="0"/>
      <w:marBottom w:val="0"/>
      <w:divBdr>
        <w:top w:val="none" w:sz="0" w:space="0" w:color="auto"/>
        <w:left w:val="none" w:sz="0" w:space="0" w:color="auto"/>
        <w:bottom w:val="none" w:sz="0" w:space="0" w:color="auto"/>
        <w:right w:val="none" w:sz="0" w:space="0" w:color="auto"/>
      </w:divBdr>
    </w:div>
    <w:div w:id="2035108581">
      <w:bodyDiv w:val="1"/>
      <w:marLeft w:val="0"/>
      <w:marRight w:val="0"/>
      <w:marTop w:val="0"/>
      <w:marBottom w:val="0"/>
      <w:divBdr>
        <w:top w:val="none" w:sz="0" w:space="0" w:color="auto"/>
        <w:left w:val="none" w:sz="0" w:space="0" w:color="auto"/>
        <w:bottom w:val="none" w:sz="0" w:space="0" w:color="auto"/>
        <w:right w:val="none" w:sz="0" w:space="0" w:color="auto"/>
      </w:divBdr>
    </w:div>
    <w:div w:id="2055538421">
      <w:bodyDiv w:val="1"/>
      <w:marLeft w:val="0"/>
      <w:marRight w:val="0"/>
      <w:marTop w:val="0"/>
      <w:marBottom w:val="0"/>
      <w:divBdr>
        <w:top w:val="none" w:sz="0" w:space="0" w:color="auto"/>
        <w:left w:val="none" w:sz="0" w:space="0" w:color="auto"/>
        <w:bottom w:val="none" w:sz="0" w:space="0" w:color="auto"/>
        <w:right w:val="none" w:sz="0" w:space="0" w:color="auto"/>
      </w:divBdr>
      <w:divsChild>
        <w:div w:id="53965755">
          <w:marLeft w:val="0"/>
          <w:marRight w:val="0"/>
          <w:marTop w:val="120"/>
          <w:marBottom w:val="120"/>
          <w:divBdr>
            <w:top w:val="none" w:sz="0" w:space="0" w:color="auto"/>
            <w:left w:val="none" w:sz="0" w:space="0" w:color="auto"/>
            <w:bottom w:val="none" w:sz="0" w:space="0" w:color="auto"/>
            <w:right w:val="none" w:sz="0" w:space="0" w:color="auto"/>
          </w:divBdr>
        </w:div>
      </w:divsChild>
    </w:div>
    <w:div w:id="2056809312">
      <w:bodyDiv w:val="1"/>
      <w:marLeft w:val="0"/>
      <w:marRight w:val="0"/>
      <w:marTop w:val="0"/>
      <w:marBottom w:val="0"/>
      <w:divBdr>
        <w:top w:val="none" w:sz="0" w:space="0" w:color="auto"/>
        <w:left w:val="none" w:sz="0" w:space="0" w:color="auto"/>
        <w:bottom w:val="none" w:sz="0" w:space="0" w:color="auto"/>
        <w:right w:val="none" w:sz="0" w:space="0" w:color="auto"/>
      </w:divBdr>
    </w:div>
    <w:div w:id="2064869699">
      <w:bodyDiv w:val="1"/>
      <w:marLeft w:val="0"/>
      <w:marRight w:val="0"/>
      <w:marTop w:val="0"/>
      <w:marBottom w:val="0"/>
      <w:divBdr>
        <w:top w:val="none" w:sz="0" w:space="0" w:color="auto"/>
        <w:left w:val="none" w:sz="0" w:space="0" w:color="auto"/>
        <w:bottom w:val="none" w:sz="0" w:space="0" w:color="auto"/>
        <w:right w:val="none" w:sz="0" w:space="0" w:color="auto"/>
      </w:divBdr>
    </w:div>
    <w:div w:id="2072463087">
      <w:bodyDiv w:val="1"/>
      <w:marLeft w:val="0"/>
      <w:marRight w:val="0"/>
      <w:marTop w:val="0"/>
      <w:marBottom w:val="0"/>
      <w:divBdr>
        <w:top w:val="none" w:sz="0" w:space="0" w:color="auto"/>
        <w:left w:val="none" w:sz="0" w:space="0" w:color="auto"/>
        <w:bottom w:val="none" w:sz="0" w:space="0" w:color="auto"/>
        <w:right w:val="none" w:sz="0" w:space="0" w:color="auto"/>
      </w:divBdr>
    </w:div>
    <w:div w:id="2101026380">
      <w:bodyDiv w:val="1"/>
      <w:marLeft w:val="0"/>
      <w:marRight w:val="0"/>
      <w:marTop w:val="0"/>
      <w:marBottom w:val="0"/>
      <w:divBdr>
        <w:top w:val="none" w:sz="0" w:space="0" w:color="auto"/>
        <w:left w:val="none" w:sz="0" w:space="0" w:color="auto"/>
        <w:bottom w:val="none" w:sz="0" w:space="0" w:color="auto"/>
        <w:right w:val="none" w:sz="0" w:space="0" w:color="auto"/>
      </w:divBdr>
    </w:div>
    <w:div w:id="2105572116">
      <w:bodyDiv w:val="1"/>
      <w:marLeft w:val="0"/>
      <w:marRight w:val="0"/>
      <w:marTop w:val="0"/>
      <w:marBottom w:val="0"/>
      <w:divBdr>
        <w:top w:val="none" w:sz="0" w:space="0" w:color="auto"/>
        <w:left w:val="none" w:sz="0" w:space="0" w:color="auto"/>
        <w:bottom w:val="none" w:sz="0" w:space="0" w:color="auto"/>
        <w:right w:val="none" w:sz="0" w:space="0" w:color="auto"/>
      </w:divBdr>
    </w:div>
    <w:div w:id="2108307093">
      <w:bodyDiv w:val="1"/>
      <w:marLeft w:val="0"/>
      <w:marRight w:val="0"/>
      <w:marTop w:val="0"/>
      <w:marBottom w:val="0"/>
      <w:divBdr>
        <w:top w:val="none" w:sz="0" w:space="0" w:color="auto"/>
        <w:left w:val="none" w:sz="0" w:space="0" w:color="auto"/>
        <w:bottom w:val="none" w:sz="0" w:space="0" w:color="auto"/>
        <w:right w:val="none" w:sz="0" w:space="0" w:color="auto"/>
      </w:divBdr>
    </w:div>
    <w:div w:id="2113090196">
      <w:bodyDiv w:val="1"/>
      <w:marLeft w:val="0"/>
      <w:marRight w:val="0"/>
      <w:marTop w:val="0"/>
      <w:marBottom w:val="0"/>
      <w:divBdr>
        <w:top w:val="none" w:sz="0" w:space="0" w:color="auto"/>
        <w:left w:val="none" w:sz="0" w:space="0" w:color="auto"/>
        <w:bottom w:val="none" w:sz="0" w:space="0" w:color="auto"/>
        <w:right w:val="none" w:sz="0" w:space="0" w:color="auto"/>
      </w:divBdr>
      <w:divsChild>
        <w:div w:id="417675551">
          <w:marLeft w:val="0"/>
          <w:marRight w:val="0"/>
          <w:marTop w:val="120"/>
          <w:marBottom w:val="120"/>
          <w:divBdr>
            <w:top w:val="none" w:sz="0" w:space="0" w:color="auto"/>
            <w:left w:val="none" w:sz="0" w:space="0" w:color="auto"/>
            <w:bottom w:val="none" w:sz="0" w:space="0" w:color="auto"/>
            <w:right w:val="none" w:sz="0" w:space="0" w:color="auto"/>
          </w:divBdr>
        </w:div>
        <w:div w:id="649602554">
          <w:marLeft w:val="0"/>
          <w:marRight w:val="0"/>
          <w:marTop w:val="120"/>
          <w:marBottom w:val="120"/>
          <w:divBdr>
            <w:top w:val="none" w:sz="0" w:space="0" w:color="auto"/>
            <w:left w:val="none" w:sz="0" w:space="0" w:color="auto"/>
            <w:bottom w:val="none" w:sz="0" w:space="0" w:color="auto"/>
            <w:right w:val="none" w:sz="0" w:space="0" w:color="auto"/>
          </w:divBdr>
        </w:div>
        <w:div w:id="661471961">
          <w:marLeft w:val="0"/>
          <w:marRight w:val="0"/>
          <w:marTop w:val="120"/>
          <w:marBottom w:val="120"/>
          <w:divBdr>
            <w:top w:val="none" w:sz="0" w:space="0" w:color="auto"/>
            <w:left w:val="none" w:sz="0" w:space="0" w:color="auto"/>
            <w:bottom w:val="none" w:sz="0" w:space="0" w:color="auto"/>
            <w:right w:val="none" w:sz="0" w:space="0" w:color="auto"/>
          </w:divBdr>
        </w:div>
        <w:div w:id="2116318033">
          <w:marLeft w:val="0"/>
          <w:marRight w:val="0"/>
          <w:marTop w:val="120"/>
          <w:marBottom w:val="120"/>
          <w:divBdr>
            <w:top w:val="none" w:sz="0" w:space="0" w:color="auto"/>
            <w:left w:val="none" w:sz="0" w:space="0" w:color="auto"/>
            <w:bottom w:val="none" w:sz="0" w:space="0" w:color="auto"/>
            <w:right w:val="none" w:sz="0" w:space="0" w:color="auto"/>
          </w:divBdr>
        </w:div>
      </w:divsChild>
    </w:div>
    <w:div w:id="2125270334">
      <w:bodyDiv w:val="1"/>
      <w:marLeft w:val="0"/>
      <w:marRight w:val="0"/>
      <w:marTop w:val="0"/>
      <w:marBottom w:val="0"/>
      <w:divBdr>
        <w:top w:val="none" w:sz="0" w:space="0" w:color="auto"/>
        <w:left w:val="none" w:sz="0" w:space="0" w:color="auto"/>
        <w:bottom w:val="none" w:sz="0" w:space="0" w:color="auto"/>
        <w:right w:val="none" w:sz="0" w:space="0" w:color="auto"/>
      </w:divBdr>
      <w:divsChild>
        <w:div w:id="990449170">
          <w:marLeft w:val="0"/>
          <w:marRight w:val="0"/>
          <w:marTop w:val="120"/>
          <w:marBottom w:val="120"/>
          <w:divBdr>
            <w:top w:val="none" w:sz="0" w:space="0" w:color="auto"/>
            <w:left w:val="none" w:sz="0" w:space="0" w:color="auto"/>
            <w:bottom w:val="none" w:sz="0" w:space="0" w:color="auto"/>
            <w:right w:val="none" w:sz="0" w:space="0" w:color="auto"/>
          </w:divBdr>
        </w:div>
        <w:div w:id="1000544160">
          <w:marLeft w:val="0"/>
          <w:marRight w:val="0"/>
          <w:marTop w:val="120"/>
          <w:marBottom w:val="120"/>
          <w:divBdr>
            <w:top w:val="none" w:sz="0" w:space="0" w:color="auto"/>
            <w:left w:val="none" w:sz="0" w:space="0" w:color="auto"/>
            <w:bottom w:val="none" w:sz="0" w:space="0" w:color="auto"/>
            <w:right w:val="none" w:sz="0" w:space="0" w:color="auto"/>
          </w:divBdr>
        </w:div>
        <w:div w:id="1390153655">
          <w:marLeft w:val="0"/>
          <w:marRight w:val="0"/>
          <w:marTop w:val="120"/>
          <w:marBottom w:val="120"/>
          <w:divBdr>
            <w:top w:val="none" w:sz="0" w:space="0" w:color="auto"/>
            <w:left w:val="none" w:sz="0" w:space="0" w:color="auto"/>
            <w:bottom w:val="none" w:sz="0" w:space="0" w:color="auto"/>
            <w:right w:val="none" w:sz="0" w:space="0" w:color="auto"/>
          </w:divBdr>
        </w:div>
        <w:div w:id="1636175454">
          <w:marLeft w:val="0"/>
          <w:marRight w:val="0"/>
          <w:marTop w:val="120"/>
          <w:marBottom w:val="120"/>
          <w:divBdr>
            <w:top w:val="none" w:sz="0" w:space="0" w:color="auto"/>
            <w:left w:val="none" w:sz="0" w:space="0" w:color="auto"/>
            <w:bottom w:val="none" w:sz="0" w:space="0" w:color="auto"/>
            <w:right w:val="none" w:sz="0" w:space="0" w:color="auto"/>
          </w:divBdr>
        </w:div>
        <w:div w:id="1825855367">
          <w:marLeft w:val="0"/>
          <w:marRight w:val="0"/>
          <w:marTop w:val="120"/>
          <w:marBottom w:val="120"/>
          <w:divBdr>
            <w:top w:val="none" w:sz="0" w:space="0" w:color="auto"/>
            <w:left w:val="none" w:sz="0" w:space="0" w:color="auto"/>
            <w:bottom w:val="none" w:sz="0" w:space="0" w:color="auto"/>
            <w:right w:val="none" w:sz="0" w:space="0" w:color="auto"/>
          </w:divBdr>
        </w:div>
      </w:divsChild>
    </w:div>
    <w:div w:id="2142963963">
      <w:bodyDiv w:val="1"/>
      <w:marLeft w:val="0"/>
      <w:marRight w:val="0"/>
      <w:marTop w:val="0"/>
      <w:marBottom w:val="0"/>
      <w:divBdr>
        <w:top w:val="none" w:sz="0" w:space="0" w:color="auto"/>
        <w:left w:val="none" w:sz="0" w:space="0" w:color="auto"/>
        <w:bottom w:val="none" w:sz="0" w:space="0" w:color="auto"/>
        <w:right w:val="none" w:sz="0" w:space="0" w:color="auto"/>
      </w:divBdr>
      <w:divsChild>
        <w:div w:id="505050544">
          <w:marLeft w:val="0"/>
          <w:marRight w:val="0"/>
          <w:marTop w:val="120"/>
          <w:marBottom w:val="12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Version="1987">
  <b:Source>
    <b:Tag>Ste07</b:Tag>
    <b:SourceType>JournalArticle</b:SourceType>
    <b:Guid>{AD2DE29F-BF77-45BA-B477-7524A9B016C4}</b:Guid>
    <b:Title> Ex situ aqueous mineral carbonation</b:Title>
    <b:Year>2007</b:Year>
    <b:Author>
      <b:Author>
        <b:NameList>
          <b:Person>
            <b:Last>Rush</b:Last>
            <b:First>Stephen</b:First>
            <b:Middle>J. GerdemannWilliam K. O'ConnorDavid C. DahlinLarry R. PennerHank</b:Middle>
          </b:Person>
        </b:NameList>
      </b:Author>
    </b:Author>
    <b:JournalName>Environmental Science &amp; Technology</b:JournalName>
    <b:RefOrder>5</b:RefOrder>
  </b:Source>
  <b:Source>
    <b:Tag>Moh25</b:Tag>
    <b:SourceType>JournalArticle</b:SourceType>
    <b:Guid>{5559CD5C-662A-400D-BBF7-0ADAE7A9E078}</b:Guid>
    <b:Author>
      <b:Author>
        <b:NameList>
          <b:Person>
            <b:Last>Mohamed A. Saleh</b:Last>
            <b:First>Mary</b:First>
            <b:Middle>P. Ryan, J.P. Martin Trusler, Samuel Krevor</b:Middle>
          </b:Person>
        </b:NameList>
      </b:Author>
    </b:Author>
    <b:Title>The interfacial processes controlling carbon dioxide mineralisation in magnesium and calcium silicates</b:Title>
    <b:JournalName>Fuel</b:JournalName>
    <b:Year>2025</b:Year>
    <b:Volume>380</b:Volume>
    <b:DOI>10.1016/j.fuel.2024.132969</b:DOI>
    <b:RefOrder>6</b:RefOrder>
  </b:Source>
  <b:Source>
    <b:Tag>Avr39</b:Tag>
    <b:SourceType>JournalArticle</b:SourceType>
    <b:Guid>{CF8D994A-D401-45FB-9408-F7C34019A2C5}</b:Guid>
    <b:Author>
      <b:Author>
        <b:NameList>
          <b:Person>
            <b:Last>Avrami</b:Last>
            <b:First>M.</b:First>
          </b:Person>
        </b:NameList>
      </b:Author>
    </b:Author>
    <b:Title>Kinetics of phase change. I. general</b:Title>
    <b:Year>1939</b:Year>
    <b:JournalName>Chem. Phys</b:JournalName>
    <b:RefOrder>1</b:RefOrder>
  </b:Source>
  <b:Source>
    <b:Tag>Avr40</b:Tag>
    <b:SourceType>JournalArticle</b:SourceType>
    <b:Guid>{C157D5A8-ECD7-4261-AA0F-178A6915D09A}</b:Guid>
    <b:Author>
      <b:Author>
        <b:NameList>
          <b:Person>
            <b:Last>Avrami</b:Last>
            <b:First>M.</b:First>
          </b:Person>
        </b:NameList>
      </b:Author>
    </b:Author>
    <b:Year>1940</b:Year>
    <b:JournalName>Chem. Phys</b:JournalName>
    <b:Title>Kinetics of phase change. II. Transformation-time relations for random distribution of nuclei</b:Title>
    <b:RefOrder>2</b:RefOrder>
  </b:Source>
  <b:Source>
    <b:Tag>Avr41</b:Tag>
    <b:SourceType>JournalArticle</b:SourceType>
    <b:Guid>{38976F40-FEA6-4D11-92AD-45475FEDA702}</b:Guid>
    <b:Author>
      <b:Author>
        <b:NameList>
          <b:Person>
            <b:Last>Avrami</b:Last>
            <b:First>M.</b:First>
          </b:Person>
        </b:NameList>
      </b:Author>
    </b:Author>
    <b:Title>Kinetics of phase change. III. Granulation, phase change, and microstructure</b:Title>
    <b:Year>1941</b:Year>
    <b:JournalName>Chem. Phys</b:JournalName>
    <b:RefOrder>3</b:RefOrder>
  </b:Source>
  <b:Source>
    <b:Tag>Ola16</b:Tag>
    <b:SourceType>JournalArticle</b:SourceType>
    <b:Guid>{AC215507-8CFB-4F2A-ACD7-C4B7A39EA753}</b:Guid>
    <b:Author>
      <b:Author>
        <b:NameList>
          <b:Person>
            <b:Last>Oladoja</b:Last>
            <b:First>Nurudeen</b:First>
            <b:Middle>Abiola</b:Middle>
          </b:Person>
        </b:NameList>
      </b:Author>
    </b:Author>
    <b:Title>A critical review of the applicability of Avrami fractional kinetic equation in adsorption-based water treatment studies,</b:Title>
    <b:Year>2016</b:Year>
    <b:JournalName>Desalination and Water Treatment</b:JournalName>
    <b:Pages>15813-15825</b:Pages>
    <b:DOI>10.1080/19443994.2015.1076355</b:DOI>
    <b:RefOrder>4</b:RefOrder>
  </b:Source>
</b:Sources>
</file>

<file path=customXml/itemProps1.xml><?xml version="1.0" encoding="utf-8"?>
<ds:datastoreItem xmlns:ds="http://schemas.openxmlformats.org/officeDocument/2006/customXml" ds:itemID="{0180115D-2FC4-4B24-A900-E3496FAF54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41</Pages>
  <Words>27769</Words>
  <Characters>158284</Characters>
  <Application>Microsoft Office Word</Application>
  <DocSecurity>0</DocSecurity>
  <Lines>1319</Lines>
  <Paragraphs>371</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Journal Of Co2 Utilization Template</vt:lpstr>
      <vt:lpstr>Journal Of Co2 Utilization Template</vt:lpstr>
    </vt:vector>
  </TitlesOfParts>
  <Company>HZDR</Company>
  <LinksUpToDate>false</LinksUpToDate>
  <CharactersWithSpaces>185682</CharactersWithSpaces>
  <SharedDoc>false</SharedDoc>
  <HLinks>
    <vt:vector size="60" baseType="variant">
      <vt:variant>
        <vt:i4>4194427</vt:i4>
      </vt:variant>
      <vt:variant>
        <vt:i4>27</vt:i4>
      </vt:variant>
      <vt:variant>
        <vt:i4>0</vt:i4>
      </vt:variant>
      <vt:variant>
        <vt:i4>5</vt:i4>
      </vt:variant>
      <vt:variant>
        <vt:lpwstr>https://pubs.rsc.org/en/journals/journal/ee?utm_source=chatgpt.com</vt:lpwstr>
      </vt:variant>
      <vt:variant>
        <vt:lpwstr/>
      </vt:variant>
      <vt:variant>
        <vt:i4>3342451</vt:i4>
      </vt:variant>
      <vt:variant>
        <vt:i4>24</vt:i4>
      </vt:variant>
      <vt:variant>
        <vt:i4>0</vt:i4>
      </vt:variant>
      <vt:variant>
        <vt:i4>5</vt:i4>
      </vt:variant>
      <vt:variant>
        <vt:lpwstr>https://pubs.rsc.org/en/journals/journal/ee</vt:lpwstr>
      </vt:variant>
      <vt:variant>
        <vt:lpwstr/>
      </vt:variant>
      <vt:variant>
        <vt:i4>5701759</vt:i4>
      </vt:variant>
      <vt:variant>
        <vt:i4>21</vt:i4>
      </vt:variant>
      <vt:variant>
        <vt:i4>0</vt:i4>
      </vt:variant>
      <vt:variant>
        <vt:i4>5</vt:i4>
      </vt:variant>
      <vt:variant>
        <vt:lpwstr>https://pubs.rsc.org/en/journals/journal/RA?utm_source=chatgpt.com</vt:lpwstr>
      </vt:variant>
      <vt:variant>
        <vt:lpwstr/>
      </vt:variant>
      <vt:variant>
        <vt:i4>2359411</vt:i4>
      </vt:variant>
      <vt:variant>
        <vt:i4>18</vt:i4>
      </vt:variant>
      <vt:variant>
        <vt:i4>0</vt:i4>
      </vt:variant>
      <vt:variant>
        <vt:i4>5</vt:i4>
      </vt:variant>
      <vt:variant>
        <vt:lpwstr>https://pubs.rsc.org/en/journals/journal/RA</vt:lpwstr>
      </vt:variant>
      <vt:variant>
        <vt:lpwstr/>
      </vt:variant>
      <vt:variant>
        <vt:i4>4718719</vt:i4>
      </vt:variant>
      <vt:variant>
        <vt:i4>15</vt:i4>
      </vt:variant>
      <vt:variant>
        <vt:i4>0</vt:i4>
      </vt:variant>
      <vt:variant>
        <vt:i4>5</vt:i4>
      </vt:variant>
      <vt:variant>
        <vt:lpwstr>https://pubs.rsc.org/en/journals/journal/MA?utm_source=chatgpt.com</vt:lpwstr>
      </vt:variant>
      <vt:variant>
        <vt:lpwstr/>
      </vt:variant>
      <vt:variant>
        <vt:i4>3866739</vt:i4>
      </vt:variant>
      <vt:variant>
        <vt:i4>12</vt:i4>
      </vt:variant>
      <vt:variant>
        <vt:i4>0</vt:i4>
      </vt:variant>
      <vt:variant>
        <vt:i4>5</vt:i4>
      </vt:variant>
      <vt:variant>
        <vt:lpwstr>https://pubs.rsc.org/en/journals/journal/MA</vt:lpwstr>
      </vt:variant>
      <vt:variant>
        <vt:lpwstr/>
      </vt:variant>
      <vt:variant>
        <vt:i4>5308543</vt:i4>
      </vt:variant>
      <vt:variant>
        <vt:i4>9</vt:i4>
      </vt:variant>
      <vt:variant>
        <vt:i4>0</vt:i4>
      </vt:variant>
      <vt:variant>
        <vt:i4>5</vt:i4>
      </vt:variant>
      <vt:variant>
        <vt:lpwstr>https://pubs.rsc.org/en/journals/journal/TA?utm_source=chatgpt.com</vt:lpwstr>
      </vt:variant>
      <vt:variant>
        <vt:lpwstr/>
      </vt:variant>
      <vt:variant>
        <vt:i4>2228339</vt:i4>
      </vt:variant>
      <vt:variant>
        <vt:i4>6</vt:i4>
      </vt:variant>
      <vt:variant>
        <vt:i4>0</vt:i4>
      </vt:variant>
      <vt:variant>
        <vt:i4>5</vt:i4>
      </vt:variant>
      <vt:variant>
        <vt:lpwstr>https://pubs.rsc.org/en/journals/journal/TA</vt:lpwstr>
      </vt:variant>
      <vt:variant>
        <vt:lpwstr/>
      </vt:variant>
      <vt:variant>
        <vt:i4>5636219</vt:i4>
      </vt:variant>
      <vt:variant>
        <vt:i4>3</vt:i4>
      </vt:variant>
      <vt:variant>
        <vt:i4>0</vt:i4>
      </vt:variant>
      <vt:variant>
        <vt:i4>5</vt:i4>
      </vt:variant>
      <vt:variant>
        <vt:lpwstr>https://pubs.rsc.org/en/journals/journal/se?utm_source=chatgpt.com</vt:lpwstr>
      </vt:variant>
      <vt:variant>
        <vt:lpwstr/>
      </vt:variant>
      <vt:variant>
        <vt:i4>2424947</vt:i4>
      </vt:variant>
      <vt:variant>
        <vt:i4>0</vt:i4>
      </vt:variant>
      <vt:variant>
        <vt:i4>0</vt:i4>
      </vt:variant>
      <vt:variant>
        <vt:i4>5</vt:i4>
      </vt:variant>
      <vt:variant>
        <vt:lpwstr>https://pubs.rsc.org/en/journals/journal/se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Journal Of Co2 Utilization Template</dc:title>
  <dc:subject/>
  <dc:creator>sahra homaee</dc:creator>
  <cp:keywords/>
  <dc:description/>
  <cp:lastModifiedBy>Homaee, Sahra (HZDRI) - 161984</cp:lastModifiedBy>
  <cp:revision>7</cp:revision>
  <cp:lastPrinted>2026-05-29T10:22:00Z</cp:lastPrinted>
  <dcterms:created xsi:type="dcterms:W3CDTF">2026-05-22T05:10:00Z</dcterms:created>
  <dcterms:modified xsi:type="dcterms:W3CDTF">2026-06-10T10:27:00Z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ate">
    <vt:lpwstr>September 18, 2025</vt:lpwstr>
  </property>
  <property fmtid="{D5CDD505-2E9C-101B-9397-08002B2CF9AE}" pid="3" name="GrammarlyDocumentId">
    <vt:lpwstr>296194aa-f1ec-4525-a08d-3e0742fa098b</vt:lpwstr>
  </property>
  <property fmtid="{D5CDD505-2E9C-101B-9397-08002B2CF9AE}" pid="4" name="ZOTERO_PREF_1">
    <vt:lpwstr>&lt;data data-version="3" zotero-version="9.0.4"&gt;&lt;session id="mAsdjPs0"/&gt;&lt;style id="http://www.zotero.org/styles/elsevier-with-titles" hasBibliography="1" bibliographyStyleHasBeenSet="1"/&gt;&lt;prefs&gt;&lt;pref name="fieldType" value="Field"/&gt;&lt;/prefs&gt;&lt;/data&gt;</vt:lpwstr>
  </property>
</Properties>
</file>